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A342C" w:rsidRPr="00E96EAC" w14:paraId="6C2B4967" w14:textId="77777777" w:rsidTr="00136A77">
        <w:tc>
          <w:tcPr>
            <w:tcW w:w="3835" w:type="pct"/>
          </w:tcPr>
          <w:p w14:paraId="7CD73010" w14:textId="77777777" w:rsidR="00AA342C" w:rsidRPr="00E96EAC" w:rsidRDefault="00AA342C" w:rsidP="00602F1D">
            <w:pPr>
              <w:rPr>
                <w:rFonts w:ascii="Arial" w:eastAsia="Malgun Gothic" w:hAnsi="Arial" w:cs="Times New Roman"/>
                <w:b/>
                <w:color w:val="19488C"/>
                <w:spacing w:val="20"/>
                <w:kern w:val="28"/>
                <w:szCs w:val="52"/>
              </w:rPr>
            </w:pPr>
            <w:r w:rsidRPr="00531E5F">
              <w:rPr>
                <w:rFonts w:ascii="Arial" w:eastAsia="Malgun Gothic" w:hAnsi="Arial" w:cs="Times New Roman"/>
                <w:b/>
                <w:color w:val="19488C"/>
                <w:spacing w:val="20"/>
                <w:kern w:val="28"/>
                <w:sz w:val="28"/>
                <w:szCs w:val="52"/>
              </w:rPr>
              <w:t>Viðbótarsparnaður Arion - Lífeyrisauki</w:t>
            </w:r>
          </w:p>
        </w:tc>
        <w:tc>
          <w:tcPr>
            <w:tcW w:w="1165" w:type="pct"/>
          </w:tcPr>
          <w:p w14:paraId="665BD5F0" w14:textId="77777777" w:rsidR="00AA342C" w:rsidRPr="00E96EAC" w:rsidRDefault="00AA342C" w:rsidP="00602F1D">
            <w:pPr>
              <w:tabs>
                <w:tab w:val="left" w:pos="646"/>
              </w:tabs>
              <w:jc w:val="right"/>
              <w:rPr>
                <w:rFonts w:ascii="Calibri" w:eastAsia="Calibri" w:hAnsi="Calibri" w:cs="Arial"/>
                <w:sz w:val="20"/>
                <w:szCs w:val="20"/>
              </w:rPr>
            </w:pPr>
            <w:r w:rsidRPr="00E96EAC">
              <w:rPr>
                <w:rFonts w:ascii="Calibri" w:eastAsia="Calibri" w:hAnsi="Calibri" w:cs="Arial"/>
                <w:noProof/>
                <w:sz w:val="20"/>
                <w:szCs w:val="20"/>
                <w:lang w:val="en-US"/>
              </w:rPr>
              <w:drawing>
                <wp:anchor distT="0" distB="0" distL="114300" distR="114300" simplePos="0" relativeHeight="251658240" behindDoc="1" locked="0" layoutInCell="1" allowOverlap="1" wp14:anchorId="2DAC4652" wp14:editId="451294B3">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A342C" w:rsidRPr="00E96EAC" w14:paraId="46E72CBE" w14:textId="77777777" w:rsidTr="00136A77">
        <w:trPr>
          <w:trHeight w:val="397"/>
        </w:trPr>
        <w:tc>
          <w:tcPr>
            <w:tcW w:w="3835" w:type="pct"/>
            <w:vAlign w:val="center"/>
          </w:tcPr>
          <w:p w14:paraId="53ABDFDD" w14:textId="77777777" w:rsidR="00AA342C" w:rsidRPr="00C01B05" w:rsidRDefault="00AA342C" w:rsidP="00602F1D">
            <w:pPr>
              <w:rPr>
                <w:rFonts w:ascii="Arial" w:eastAsia="Malgun Gothic" w:hAnsi="Arial" w:cs="Times New Roman"/>
                <w:iCs/>
                <w:color w:val="19488C"/>
                <w:spacing w:val="15"/>
                <w:sz w:val="22"/>
              </w:rPr>
            </w:pPr>
            <w:r w:rsidRPr="00C01B05">
              <w:rPr>
                <w:rFonts w:ascii="Arial" w:eastAsia="Malgun Gothic" w:hAnsi="Arial" w:cs="Times New Roman"/>
                <w:color w:val="19488C"/>
                <w:spacing w:val="15"/>
              </w:rPr>
              <w:t>Samningur um viðbótarsparnað</w:t>
            </w:r>
          </w:p>
        </w:tc>
        <w:tc>
          <w:tcPr>
            <w:tcW w:w="1165" w:type="pct"/>
            <w:vAlign w:val="bottom"/>
          </w:tcPr>
          <w:p w14:paraId="03B80D69" w14:textId="77777777" w:rsidR="00AA342C" w:rsidRPr="00E96EAC" w:rsidRDefault="00AA342C" w:rsidP="00602F1D">
            <w:pPr>
              <w:jc w:val="right"/>
              <w:rPr>
                <w:rFonts w:ascii="Calibri" w:eastAsia="Calibri" w:hAnsi="Calibri" w:cs="Arial"/>
                <w:noProof/>
                <w:sz w:val="20"/>
                <w:szCs w:val="20"/>
                <w:lang w:eastAsia="is-IS"/>
              </w:rPr>
            </w:pPr>
          </w:p>
        </w:tc>
      </w:tr>
    </w:tbl>
    <w:p w14:paraId="03259D18" w14:textId="77777777" w:rsidR="00AA342C" w:rsidRPr="008352BE" w:rsidRDefault="00AA342C" w:rsidP="00602F1D">
      <w:pPr>
        <w:rPr>
          <w:rStyle w:val="SubtleEmphasis"/>
          <w:sz w:val="12"/>
          <w:szCs w:val="12"/>
        </w:rPr>
      </w:pPr>
    </w:p>
    <w:p w14:paraId="55086501" w14:textId="77777777" w:rsidR="00AA342C" w:rsidRPr="00531E5F" w:rsidRDefault="00AA342C" w:rsidP="00602F1D">
      <w:pPr>
        <w:jc w:val="right"/>
        <w:rPr>
          <w:sz w:val="8"/>
          <w:szCs w:val="6"/>
        </w:rPr>
      </w:pPr>
      <w:r w:rsidRPr="00531E5F">
        <w:rPr>
          <w:rStyle w:val="SubtleEmphasis"/>
        </w:rPr>
        <w:t>Rnr. 329-26-001080, kt. 640699-9069, lsjnr. 286</w:t>
      </w:r>
    </w:p>
    <w:p w14:paraId="3E17B58D" w14:textId="77777777" w:rsidR="00AA342C" w:rsidRPr="008352BE" w:rsidRDefault="00AA342C" w:rsidP="00602F1D">
      <w:pPr>
        <w:rPr>
          <w:rStyle w:val="SubtleEmphasis"/>
          <w:sz w:val="12"/>
          <w:szCs w:val="18"/>
        </w:rPr>
      </w:pPr>
    </w:p>
    <w:p w14:paraId="2E9CB911" w14:textId="77777777" w:rsidR="00AA342C" w:rsidRPr="00E21C6E" w:rsidRDefault="00AA342C" w:rsidP="00602F1D">
      <w:pPr>
        <w:jc w:val="both"/>
        <w:rPr>
          <w:rStyle w:val="SubtleEmphasis"/>
          <w:b/>
        </w:rPr>
      </w:pPr>
      <w:r w:rsidRPr="00E21C6E">
        <w:rPr>
          <w:rStyle w:val="SubtleEmphasis"/>
          <w:b/>
        </w:rPr>
        <w:t>Undirrituð/</w:t>
      </w:r>
      <w:r>
        <w:rPr>
          <w:rStyle w:val="SubtleEmphasis"/>
          <w:b/>
        </w:rPr>
        <w:t xml:space="preserve"> undirrit</w:t>
      </w:r>
      <w:r w:rsidRPr="00E21C6E">
        <w:rPr>
          <w:rStyle w:val="SubtleEmphasis"/>
          <w:b/>
        </w:rPr>
        <w:t>aður rétthafi og Lífeyrisauki í umboði Arion banka gera með sér eftirfarandi samning um viðbótarsparnað:</w:t>
      </w:r>
    </w:p>
    <w:p w14:paraId="4D7488A8" w14:textId="77777777" w:rsidR="00AA342C" w:rsidRPr="00583CBE" w:rsidRDefault="00AA342C" w:rsidP="00602F1D">
      <w:pPr>
        <w:jc w:val="both"/>
        <w:rPr>
          <w:rFonts w:cs="Arial"/>
          <w:b/>
          <w:sz w:val="10"/>
          <w:szCs w:val="18"/>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6"/>
        <w:gridCol w:w="278"/>
        <w:gridCol w:w="2490"/>
      </w:tblGrid>
      <w:tr w:rsidR="00AA342C" w:rsidRPr="00975CE8" w14:paraId="31775BA3" w14:textId="77777777" w:rsidTr="00136A77">
        <w:trPr>
          <w:trHeight w:val="283"/>
        </w:trPr>
        <w:tc>
          <w:tcPr>
            <w:tcW w:w="3597" w:type="pct"/>
            <w:tcBorders>
              <w:bottom w:val="single" w:sz="2" w:space="0" w:color="auto"/>
            </w:tcBorders>
            <w:vAlign w:val="bottom"/>
          </w:tcPr>
          <w:p w14:paraId="0AAB79D0" w14:textId="0AEB45F6" w:rsidR="00AA342C" w:rsidRPr="00975CE8" w:rsidRDefault="005238FE" w:rsidP="00602F1D">
            <w:pPr>
              <w:rPr>
                <w:rStyle w:val="SubtleEmphasis"/>
              </w:rPr>
            </w:pPr>
            <w:r>
              <w:rPr>
                <w:rStyle w:val="SubtleEmphasis"/>
              </w:rPr>
              <w:fldChar w:fldCharType="begin">
                <w:ffData>
                  <w:name w:val="NAFN1"/>
                  <w:enabled/>
                  <w:calcOnExit/>
                  <w:textInput>
                    <w:maxLength w:val="50"/>
                  </w:textInput>
                </w:ffData>
              </w:fldChar>
            </w:r>
            <w:bookmarkStart w:id="0"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0"/>
          </w:p>
        </w:tc>
        <w:tc>
          <w:tcPr>
            <w:tcW w:w="141" w:type="pct"/>
            <w:vAlign w:val="bottom"/>
          </w:tcPr>
          <w:p w14:paraId="6F6CDFCD" w14:textId="77777777" w:rsidR="00AA342C" w:rsidRPr="00975CE8" w:rsidRDefault="00AA342C" w:rsidP="00602F1D">
            <w:pPr>
              <w:rPr>
                <w:rStyle w:val="SubtleEmphasis"/>
              </w:rPr>
            </w:pPr>
          </w:p>
        </w:tc>
        <w:tc>
          <w:tcPr>
            <w:tcW w:w="1262" w:type="pct"/>
            <w:tcBorders>
              <w:bottom w:val="single" w:sz="2" w:space="0" w:color="auto"/>
            </w:tcBorders>
            <w:vAlign w:val="bottom"/>
          </w:tcPr>
          <w:p w14:paraId="3ED2A100" w14:textId="77777777" w:rsidR="00AA342C" w:rsidRPr="00975CE8" w:rsidRDefault="00AA342C" w:rsidP="00602F1D">
            <w:pPr>
              <w:rPr>
                <w:rStyle w:val="SubtleEmphasis"/>
              </w:rPr>
            </w:pPr>
            <w:r w:rsidRPr="00975CE8">
              <w:rPr>
                <w:rStyle w:val="SubtleEmphasis"/>
              </w:rPr>
              <w:fldChar w:fldCharType="begin">
                <w:ffData>
                  <w:name w:val="KT1"/>
                  <w:enabled/>
                  <w:calcOnExit w:val="0"/>
                  <w:textInput>
                    <w:type w:val="number"/>
                    <w:format w:val="######-####"/>
                  </w:textInput>
                </w:ffData>
              </w:fldChar>
            </w:r>
            <w:bookmarkStart w:id="1" w:name="KT1"/>
            <w:r w:rsidRPr="00975CE8">
              <w:rPr>
                <w:rStyle w:val="SubtleEmphasis"/>
              </w:rPr>
              <w:instrText xml:space="preserve"> FORMTEXT </w:instrText>
            </w:r>
            <w:r w:rsidRPr="00975CE8">
              <w:rPr>
                <w:rStyle w:val="SubtleEmphasis"/>
              </w:rPr>
            </w:r>
            <w:r w:rsidRPr="00975CE8">
              <w:rPr>
                <w:rStyle w:val="SubtleEmphasis"/>
              </w:rPr>
              <w:fldChar w:fldCharType="separate"/>
            </w:r>
            <w:r w:rsidRPr="00975CE8">
              <w:rPr>
                <w:rStyle w:val="SubtleEmphasis"/>
              </w:rPr>
              <w:t> </w:t>
            </w:r>
            <w:r w:rsidRPr="00975CE8">
              <w:rPr>
                <w:rStyle w:val="SubtleEmphasis"/>
              </w:rPr>
              <w:t> </w:t>
            </w:r>
            <w:r w:rsidRPr="00975CE8">
              <w:rPr>
                <w:rStyle w:val="SubtleEmphasis"/>
              </w:rPr>
              <w:t> </w:t>
            </w:r>
            <w:r w:rsidRPr="00975CE8">
              <w:rPr>
                <w:rStyle w:val="SubtleEmphasis"/>
              </w:rPr>
              <w:t> </w:t>
            </w:r>
            <w:r w:rsidRPr="00975CE8">
              <w:rPr>
                <w:rStyle w:val="SubtleEmphasis"/>
              </w:rPr>
              <w:t> </w:t>
            </w:r>
            <w:r w:rsidRPr="00975CE8">
              <w:rPr>
                <w:rStyle w:val="SubtleEmphasis"/>
              </w:rPr>
              <w:fldChar w:fldCharType="end"/>
            </w:r>
            <w:bookmarkEnd w:id="1"/>
          </w:p>
        </w:tc>
      </w:tr>
      <w:tr w:rsidR="00AA342C" w:rsidRPr="005D14C2" w14:paraId="1D488CD8" w14:textId="77777777" w:rsidTr="00136A77">
        <w:tc>
          <w:tcPr>
            <w:tcW w:w="3597" w:type="pct"/>
            <w:tcBorders>
              <w:top w:val="single" w:sz="2" w:space="0" w:color="auto"/>
            </w:tcBorders>
          </w:tcPr>
          <w:p w14:paraId="4B033F80" w14:textId="77777777" w:rsidR="00AA342C" w:rsidRPr="005D14C2" w:rsidRDefault="00AA342C" w:rsidP="00602F1D">
            <w:pPr>
              <w:rPr>
                <w:bCs/>
                <w:sz w:val="14"/>
              </w:rPr>
            </w:pPr>
            <w:r>
              <w:rPr>
                <w:bCs/>
                <w:sz w:val="14"/>
              </w:rPr>
              <w:t xml:space="preserve">Nafn rétthafa </w:t>
            </w:r>
          </w:p>
        </w:tc>
        <w:tc>
          <w:tcPr>
            <w:tcW w:w="141" w:type="pct"/>
          </w:tcPr>
          <w:p w14:paraId="56A7EFAF" w14:textId="77777777" w:rsidR="00AA342C" w:rsidRPr="005D14C2" w:rsidRDefault="00AA342C" w:rsidP="00602F1D">
            <w:pPr>
              <w:rPr>
                <w:bCs/>
                <w:sz w:val="14"/>
              </w:rPr>
            </w:pPr>
          </w:p>
        </w:tc>
        <w:tc>
          <w:tcPr>
            <w:tcW w:w="1262" w:type="pct"/>
            <w:tcBorders>
              <w:top w:val="single" w:sz="2" w:space="0" w:color="auto"/>
            </w:tcBorders>
          </w:tcPr>
          <w:p w14:paraId="03A2F2C8" w14:textId="7309BDE2" w:rsidR="00AA342C" w:rsidRPr="005D14C2" w:rsidRDefault="00AA342C" w:rsidP="00602F1D">
            <w:pPr>
              <w:rPr>
                <w:bCs/>
                <w:sz w:val="14"/>
              </w:rPr>
            </w:pPr>
            <w:r w:rsidRPr="005D14C2">
              <w:rPr>
                <w:bCs/>
                <w:sz w:val="14"/>
              </w:rPr>
              <w:t>Kennitala</w:t>
            </w:r>
            <w:r w:rsidR="000A70AC">
              <w:rPr>
                <w:bCs/>
                <w:sz w:val="14"/>
              </w:rPr>
              <w:t xml:space="preserve"> rétthafa</w:t>
            </w:r>
          </w:p>
        </w:tc>
      </w:tr>
      <w:tr w:rsidR="00AA342C" w:rsidRPr="00975CE8" w14:paraId="0C5653B5" w14:textId="77777777" w:rsidTr="0026497A">
        <w:trPr>
          <w:trHeight w:val="397"/>
        </w:trPr>
        <w:tc>
          <w:tcPr>
            <w:tcW w:w="3597" w:type="pct"/>
            <w:tcBorders>
              <w:bottom w:val="single" w:sz="2" w:space="0" w:color="auto"/>
            </w:tcBorders>
            <w:vAlign w:val="bottom"/>
          </w:tcPr>
          <w:p w14:paraId="034FF810" w14:textId="34627A98" w:rsidR="00AA342C" w:rsidRPr="00975CE8" w:rsidRDefault="005238FE" w:rsidP="00602F1D">
            <w:pPr>
              <w:rPr>
                <w:rStyle w:val="SubtleEmphasis"/>
              </w:rPr>
            </w:pPr>
            <w:r>
              <w:rPr>
                <w:rStyle w:val="SubtleEmphasis"/>
              </w:rPr>
              <w:fldChar w:fldCharType="begin">
                <w:ffData>
                  <w:name w:val="NAFN2"/>
                  <w:enabled/>
                  <w:calcOnExit w:val="0"/>
                  <w:textInput>
                    <w:maxLength w:val="50"/>
                  </w:textInput>
                </w:ffData>
              </w:fldChar>
            </w:r>
            <w:bookmarkStart w:id="2" w:name="NAFN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c>
          <w:tcPr>
            <w:tcW w:w="141" w:type="pct"/>
            <w:vAlign w:val="bottom"/>
          </w:tcPr>
          <w:p w14:paraId="2DEC3D21" w14:textId="77777777" w:rsidR="00AA342C" w:rsidRPr="00975CE8" w:rsidRDefault="00AA342C" w:rsidP="00602F1D">
            <w:pPr>
              <w:rPr>
                <w:rStyle w:val="SubtleEmphasis"/>
              </w:rPr>
            </w:pPr>
          </w:p>
        </w:tc>
        <w:tc>
          <w:tcPr>
            <w:tcW w:w="1262" w:type="pct"/>
            <w:tcBorders>
              <w:bottom w:val="single" w:sz="2" w:space="0" w:color="auto"/>
            </w:tcBorders>
            <w:vAlign w:val="bottom"/>
          </w:tcPr>
          <w:p w14:paraId="5AF1E11F" w14:textId="03F876DE" w:rsidR="00AA342C" w:rsidRPr="00975CE8" w:rsidRDefault="00B148DA" w:rsidP="00602F1D">
            <w:pPr>
              <w:rPr>
                <w:rStyle w:val="SubtleEmphasis"/>
              </w:rPr>
            </w:pPr>
            <w:r>
              <w:rPr>
                <w:rStyle w:val="SubtleEmphasis"/>
              </w:rPr>
              <w:fldChar w:fldCharType="begin">
                <w:ffData>
                  <w:name w:val="KT2"/>
                  <w:enabled/>
                  <w:calcOnExit w:val="0"/>
                  <w:textInput>
                    <w:type w:val="number"/>
                    <w:maxLength w:val="11"/>
                    <w:format w:val="######-####"/>
                  </w:textInput>
                </w:ffData>
              </w:fldChar>
            </w:r>
            <w:bookmarkStart w:id="3" w:name="K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r>
      <w:tr w:rsidR="00AA342C" w:rsidRPr="005D14C2" w14:paraId="0D12D729" w14:textId="77777777" w:rsidTr="00136A77">
        <w:tc>
          <w:tcPr>
            <w:tcW w:w="3597" w:type="pct"/>
            <w:tcBorders>
              <w:top w:val="single" w:sz="2" w:space="0" w:color="auto"/>
            </w:tcBorders>
          </w:tcPr>
          <w:p w14:paraId="66D5FA61" w14:textId="77777777" w:rsidR="00AA342C" w:rsidRPr="005D14C2" w:rsidRDefault="00AA342C" w:rsidP="00602F1D">
            <w:pPr>
              <w:rPr>
                <w:bCs/>
                <w:sz w:val="14"/>
              </w:rPr>
            </w:pPr>
            <w:r>
              <w:rPr>
                <w:bCs/>
                <w:sz w:val="14"/>
              </w:rPr>
              <w:t>Nafn launagreiðanda</w:t>
            </w:r>
          </w:p>
        </w:tc>
        <w:tc>
          <w:tcPr>
            <w:tcW w:w="141" w:type="pct"/>
          </w:tcPr>
          <w:p w14:paraId="39F33AD9" w14:textId="77777777" w:rsidR="00AA342C" w:rsidRPr="005D14C2" w:rsidRDefault="00AA342C" w:rsidP="00602F1D">
            <w:pPr>
              <w:rPr>
                <w:bCs/>
                <w:sz w:val="14"/>
              </w:rPr>
            </w:pPr>
          </w:p>
        </w:tc>
        <w:tc>
          <w:tcPr>
            <w:tcW w:w="1262" w:type="pct"/>
          </w:tcPr>
          <w:p w14:paraId="432567FB" w14:textId="77777777" w:rsidR="00AA342C" w:rsidRPr="005D14C2" w:rsidRDefault="00AA342C" w:rsidP="00602F1D">
            <w:pPr>
              <w:rPr>
                <w:bCs/>
                <w:sz w:val="14"/>
              </w:rPr>
            </w:pPr>
            <w:r>
              <w:rPr>
                <w:bCs/>
                <w:sz w:val="14"/>
              </w:rPr>
              <w:t>Kennitala launagreiðanda</w:t>
            </w:r>
          </w:p>
        </w:tc>
      </w:tr>
    </w:tbl>
    <w:p w14:paraId="26D5049B" w14:textId="77777777" w:rsidR="00AA342C" w:rsidRDefault="00AA342C" w:rsidP="00602F1D">
      <w:pPr>
        <w:rPr>
          <w:rStyle w:val="SubtleEmphasis"/>
        </w:rPr>
      </w:pPr>
    </w:p>
    <w:p w14:paraId="551E7770" w14:textId="77777777" w:rsidR="00AA342C" w:rsidRDefault="00AA342C" w:rsidP="00602F1D">
      <w:pPr>
        <w:rPr>
          <w:rStyle w:val="SubtleEmphasis"/>
          <w:spacing w:val="20"/>
        </w:rPr>
      </w:pPr>
      <w:r w:rsidRPr="00193B27">
        <w:rPr>
          <w:rStyle w:val="SubtleEmphasis"/>
          <w:spacing w:val="20"/>
        </w:rPr>
        <w:t>STILLTU ÞINN SPARNAÐ</w:t>
      </w:r>
    </w:p>
    <w:p w14:paraId="78554317" w14:textId="45A231CB" w:rsidR="00AA342C" w:rsidRDefault="00AA342C" w:rsidP="00602F1D">
      <w:pPr>
        <w:rPr>
          <w:rStyle w:val="SubtleEmphasis"/>
        </w:rPr>
      </w:pPr>
      <w:r>
        <w:rPr>
          <w:rStyle w:val="SubtleEmphasis"/>
        </w:rPr>
        <w:t>Veldu hlu</w:t>
      </w:r>
      <w:r w:rsidR="007464D8">
        <w:rPr>
          <w:rStyle w:val="SubtleEmphasis"/>
        </w:rPr>
        <w:t>t</w:t>
      </w:r>
      <w:r>
        <w:rPr>
          <w:rStyle w:val="SubtleEmphasis"/>
        </w:rPr>
        <w:t>fall af þínum launum sem fer í viðbótarsparnað.</w:t>
      </w:r>
    </w:p>
    <w:p w14:paraId="79FBB71F" w14:textId="77777777" w:rsidR="00AA342C" w:rsidRPr="000F35AE" w:rsidRDefault="00AA342C" w:rsidP="00602F1D">
      <w:pPr>
        <w:rPr>
          <w:rStyle w:val="SubtleEmphasis"/>
          <w:sz w:val="14"/>
        </w:rPr>
      </w:pP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306"/>
        <w:gridCol w:w="256"/>
        <w:gridCol w:w="2694"/>
      </w:tblGrid>
      <w:tr w:rsidR="00C61126" w:rsidRPr="0042600E" w14:paraId="05611B47"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48AD2483" w14:textId="69DC6CA7" w:rsidR="00C61126" w:rsidRPr="0042600E" w:rsidRDefault="00D234A4" w:rsidP="00602F1D">
            <w:pPr>
              <w:jc w:val="right"/>
              <w:rPr>
                <w:rStyle w:val="SubtleEmphasis"/>
              </w:rPr>
            </w:pPr>
            <w:r>
              <w:rPr>
                <w:rStyle w:val="SubtleEmphasis"/>
              </w:rPr>
              <w:fldChar w:fldCharType="begin">
                <w:ffData>
                  <w:name w:val="LAUN4PROS"/>
                  <w:enabled/>
                  <w:calcOnExit w:val="0"/>
                  <w:textInput>
                    <w:maxLength w:val="1"/>
                  </w:textInput>
                </w:ffData>
              </w:fldChar>
            </w:r>
            <w:bookmarkStart w:id="4" w:name="LAUN4PROS"/>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4"/>
          </w:p>
        </w:tc>
        <w:tc>
          <w:tcPr>
            <w:tcW w:w="256" w:type="dxa"/>
            <w:tcBorders>
              <w:top w:val="nil"/>
              <w:left w:val="single" w:sz="4" w:space="0" w:color="auto"/>
              <w:bottom w:val="nil"/>
              <w:right w:val="nil"/>
            </w:tcBorders>
          </w:tcPr>
          <w:p w14:paraId="3275D343" w14:textId="77777777" w:rsidR="00C61126" w:rsidRPr="00C61126" w:rsidRDefault="00C61126" w:rsidP="00602F1D">
            <w:pPr>
              <w:rPr>
                <w:rStyle w:val="SubtleEmphasis"/>
                <w:sz w:val="12"/>
                <w:szCs w:val="12"/>
              </w:rPr>
            </w:pPr>
          </w:p>
        </w:tc>
        <w:tc>
          <w:tcPr>
            <w:tcW w:w="2694" w:type="dxa"/>
            <w:tcBorders>
              <w:left w:val="nil"/>
            </w:tcBorders>
            <w:vAlign w:val="center"/>
          </w:tcPr>
          <w:p w14:paraId="355E7FFF" w14:textId="33129A87" w:rsidR="00C61126" w:rsidRPr="0042600E" w:rsidRDefault="00C61126" w:rsidP="00602F1D">
            <w:pPr>
              <w:rPr>
                <w:rStyle w:val="SubtleEmphasis"/>
              </w:rPr>
            </w:pPr>
            <w:r w:rsidRPr="0042600E">
              <w:rPr>
                <w:rStyle w:val="SubtleEmphasis"/>
              </w:rPr>
              <w:t>4% af launum</w:t>
            </w:r>
          </w:p>
        </w:tc>
      </w:tr>
      <w:tr w:rsidR="00C61126" w:rsidRPr="0042600E" w14:paraId="5D8F5BA3"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79602AC3" w14:textId="119B73A7" w:rsidR="00C61126" w:rsidRPr="0042600E" w:rsidRDefault="00D234A4" w:rsidP="00602F1D">
            <w:pPr>
              <w:jc w:val="right"/>
              <w:rPr>
                <w:rStyle w:val="SubtleEmphasis"/>
              </w:rPr>
            </w:pPr>
            <w:r>
              <w:rPr>
                <w:rStyle w:val="SubtleEmphasis"/>
              </w:rPr>
              <w:fldChar w:fldCharType="begin">
                <w:ffData>
                  <w:name w:val="LAUN2PROS"/>
                  <w:enabled/>
                  <w:calcOnExit w:val="0"/>
                  <w:textInput>
                    <w:maxLength w:val="1"/>
                  </w:textInput>
                </w:ffData>
              </w:fldChar>
            </w:r>
            <w:bookmarkStart w:id="5" w:name="LAUN2PROS"/>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5"/>
          </w:p>
        </w:tc>
        <w:tc>
          <w:tcPr>
            <w:tcW w:w="256" w:type="dxa"/>
            <w:tcBorders>
              <w:top w:val="nil"/>
              <w:left w:val="single" w:sz="4" w:space="0" w:color="auto"/>
              <w:bottom w:val="nil"/>
              <w:right w:val="nil"/>
            </w:tcBorders>
          </w:tcPr>
          <w:p w14:paraId="6188E9BE" w14:textId="77777777" w:rsidR="00C61126" w:rsidRPr="00C61126" w:rsidRDefault="00C61126" w:rsidP="00602F1D">
            <w:pPr>
              <w:rPr>
                <w:rStyle w:val="SubtleEmphasis"/>
                <w:sz w:val="12"/>
                <w:szCs w:val="12"/>
              </w:rPr>
            </w:pPr>
          </w:p>
        </w:tc>
        <w:tc>
          <w:tcPr>
            <w:tcW w:w="2694" w:type="dxa"/>
            <w:tcBorders>
              <w:left w:val="nil"/>
              <w:bottom w:val="single" w:sz="2" w:space="0" w:color="auto"/>
            </w:tcBorders>
            <w:vAlign w:val="center"/>
          </w:tcPr>
          <w:p w14:paraId="79556EFA" w14:textId="1744A2A2" w:rsidR="00C61126" w:rsidRPr="0042600E" w:rsidRDefault="00C61126" w:rsidP="00602F1D">
            <w:pPr>
              <w:rPr>
                <w:rStyle w:val="SubtleEmphasis"/>
              </w:rPr>
            </w:pPr>
            <w:r w:rsidRPr="0042600E">
              <w:rPr>
                <w:rStyle w:val="SubtleEmphasis"/>
              </w:rPr>
              <w:t>2% af launum</w:t>
            </w:r>
          </w:p>
        </w:tc>
      </w:tr>
      <w:tr w:rsidR="00C61126" w:rsidRPr="0042600E" w14:paraId="4C36C791"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FBB6EEE" w14:textId="69AF93A2" w:rsidR="00C61126" w:rsidRPr="0042600E" w:rsidRDefault="00D234A4" w:rsidP="00602F1D">
            <w:pPr>
              <w:jc w:val="right"/>
              <w:rPr>
                <w:rStyle w:val="SubtleEmphasis"/>
              </w:rPr>
            </w:pPr>
            <w:r>
              <w:rPr>
                <w:rStyle w:val="SubtleEmphasis"/>
              </w:rPr>
              <w:fldChar w:fldCharType="begin">
                <w:ffData>
                  <w:name w:val="LAUN_ANNAD"/>
                  <w:enabled/>
                  <w:calcOnExit w:val="0"/>
                  <w:textInput>
                    <w:maxLength w:val="1"/>
                  </w:textInput>
                </w:ffData>
              </w:fldChar>
            </w:r>
            <w:bookmarkStart w:id="6" w:name="LAUN_ANNA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6"/>
          </w:p>
        </w:tc>
        <w:tc>
          <w:tcPr>
            <w:tcW w:w="256" w:type="dxa"/>
            <w:tcBorders>
              <w:top w:val="nil"/>
              <w:left w:val="single" w:sz="4" w:space="0" w:color="auto"/>
              <w:bottom w:val="nil"/>
              <w:right w:val="nil"/>
            </w:tcBorders>
          </w:tcPr>
          <w:p w14:paraId="1CB815C0" w14:textId="77777777" w:rsidR="00C61126" w:rsidRPr="00C61126" w:rsidRDefault="00C61126" w:rsidP="00602F1D">
            <w:pPr>
              <w:rPr>
                <w:rStyle w:val="SubtleEmphasis"/>
                <w:sz w:val="12"/>
                <w:szCs w:val="12"/>
              </w:rPr>
            </w:pPr>
          </w:p>
        </w:tc>
        <w:tc>
          <w:tcPr>
            <w:tcW w:w="2694" w:type="dxa"/>
            <w:tcBorders>
              <w:top w:val="single" w:sz="2" w:space="0" w:color="auto"/>
              <w:left w:val="nil"/>
              <w:bottom w:val="single" w:sz="2" w:space="0" w:color="auto"/>
            </w:tcBorders>
            <w:vAlign w:val="center"/>
          </w:tcPr>
          <w:p w14:paraId="349B7DD3" w14:textId="469C8419" w:rsidR="00C61126" w:rsidRPr="0042600E" w:rsidRDefault="00C61126" w:rsidP="00602F1D">
            <w:pPr>
              <w:rPr>
                <w:rStyle w:val="SubtleEmphasis"/>
              </w:rPr>
            </w:pPr>
            <w:r w:rsidRPr="0042600E">
              <w:rPr>
                <w:rStyle w:val="SubtleEmphasis"/>
              </w:rPr>
              <w:t xml:space="preserve">Annað: </w:t>
            </w:r>
            <w:r>
              <w:rPr>
                <w:rStyle w:val="SubtleEmphasis"/>
              </w:rPr>
              <w:fldChar w:fldCharType="begin">
                <w:ffData>
                  <w:name w:val="LAUN_ANNAD_PROS"/>
                  <w:enabled/>
                  <w:calcOnExit w:val="0"/>
                  <w:textInput/>
                </w:ffData>
              </w:fldChar>
            </w:r>
            <w:bookmarkStart w:id="7" w:name="LAUN_ANNAD_PROS"/>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tr>
    </w:tbl>
    <w:p w14:paraId="593C80A2" w14:textId="77777777" w:rsidR="00AA342C" w:rsidRDefault="00AA342C" w:rsidP="00602F1D">
      <w:pPr>
        <w:rPr>
          <w:rStyle w:val="SubtleEmphasis"/>
        </w:rPr>
      </w:pPr>
    </w:p>
    <w:p w14:paraId="011FACFC" w14:textId="4BD217A7" w:rsidR="00AA342C" w:rsidRDefault="00AA342C" w:rsidP="00602F1D">
      <w:pPr>
        <w:rPr>
          <w:rStyle w:val="SubtleEmphasis"/>
          <w:spacing w:val="20"/>
        </w:rPr>
      </w:pPr>
      <w:r w:rsidRPr="00193B27">
        <w:rPr>
          <w:rStyle w:val="SubtleEmphasis"/>
          <w:spacing w:val="20"/>
        </w:rPr>
        <w:t>VELDU ÞÍNA FJÁRFESTINGARLEIÐ</w:t>
      </w:r>
    </w:p>
    <w:p w14:paraId="6C1C13C6" w14:textId="62062321" w:rsidR="00AA342C" w:rsidRDefault="00507677" w:rsidP="008E4298">
      <w:pPr>
        <w:rPr>
          <w:rStyle w:val="SubtleEmphasis"/>
        </w:rPr>
      </w:pPr>
      <w:r w:rsidRPr="00507677">
        <w:rPr>
          <w:rStyle w:val="SubtleEmphasis"/>
        </w:rPr>
        <w:t>Val þitt á fjárfestingarleið nú yfirtekur fyrra val á fjárfestingarleið og getur falið í sér flutning á milli fjárfestingarleiða, ef Ævilína er valin, sjá nánar í 6. gr. reglna um Lífeyrisauka. Nánari upplýsingar um fjárfestingarleiðir, eignasamsetningu og fjárfestingarstefnu má finna á vefsvæði Arion banka. Fjárfestingarstefnan er endurskoðuð reglulega og getur breyst vegna lagabreytinga og/eða skv. ákvörðun vörsluaðila.</w:t>
      </w:r>
    </w:p>
    <w:p w14:paraId="2AD32CA1" w14:textId="77777777" w:rsidR="00507677" w:rsidRPr="005F6D1D" w:rsidRDefault="00507677" w:rsidP="00602F1D">
      <w:pPr>
        <w:rPr>
          <w:rStyle w:val="SubtleEmphasis"/>
          <w:sz w:val="10"/>
        </w:rPr>
      </w:pPr>
    </w:p>
    <w:p w14:paraId="0C2F7AEF" w14:textId="74C53012" w:rsidR="00AA342C" w:rsidRPr="00193B27" w:rsidRDefault="00AA342C" w:rsidP="00602F1D">
      <w:pPr>
        <w:rPr>
          <w:rStyle w:val="SubtleEmphasis"/>
          <w:b/>
        </w:rPr>
      </w:pPr>
      <w:r w:rsidRPr="00193B27">
        <w:rPr>
          <w:rStyle w:val="SubtleEmphasis"/>
          <w:b/>
        </w:rPr>
        <w:t xml:space="preserve">Í Ævilínu færist þú sjálfkrafa á milli </w:t>
      </w:r>
      <w:r w:rsidR="00507677">
        <w:rPr>
          <w:rStyle w:val="SubtleEmphasis"/>
          <w:b/>
        </w:rPr>
        <w:t>fjárfestingarleiða</w:t>
      </w:r>
      <w:r w:rsidRPr="00193B27">
        <w:rPr>
          <w:rStyle w:val="SubtleEmphasis"/>
          <w:b/>
        </w:rPr>
        <w:t xml:space="preserve"> 1 til 5 eftir aldri.</w:t>
      </w:r>
    </w:p>
    <w:p w14:paraId="148BDACC" w14:textId="77777777" w:rsidR="00AA342C" w:rsidRPr="005F6D1D" w:rsidRDefault="00AA342C" w:rsidP="00602F1D">
      <w:pPr>
        <w:rPr>
          <w:rStyle w:val="SubtleEmphasis"/>
          <w:sz w:val="1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
        <w:gridCol w:w="261"/>
        <w:gridCol w:w="2835"/>
        <w:gridCol w:w="1843"/>
      </w:tblGrid>
      <w:tr w:rsidR="00C61126" w14:paraId="5F89B8B3" w14:textId="77777777" w:rsidTr="00D234A4">
        <w:trPr>
          <w:trHeight w:val="283"/>
        </w:trPr>
        <w:tc>
          <w:tcPr>
            <w:tcW w:w="306" w:type="dxa"/>
            <w:tcBorders>
              <w:top w:val="nil"/>
              <w:left w:val="nil"/>
              <w:bottom w:val="single" w:sz="4" w:space="0" w:color="auto"/>
              <w:right w:val="nil"/>
            </w:tcBorders>
            <w:vAlign w:val="center"/>
          </w:tcPr>
          <w:p w14:paraId="545591E2" w14:textId="77777777" w:rsidR="00C61126" w:rsidRDefault="00C61126" w:rsidP="00602F1D">
            <w:pPr>
              <w:rPr>
                <w:rStyle w:val="SubtleEmphasis"/>
              </w:rPr>
            </w:pPr>
          </w:p>
        </w:tc>
        <w:tc>
          <w:tcPr>
            <w:tcW w:w="261" w:type="dxa"/>
            <w:tcBorders>
              <w:top w:val="nil"/>
              <w:left w:val="nil"/>
              <w:bottom w:val="nil"/>
              <w:right w:val="nil"/>
            </w:tcBorders>
          </w:tcPr>
          <w:p w14:paraId="12439CAD" w14:textId="77777777" w:rsidR="00C61126" w:rsidRPr="00C61126" w:rsidRDefault="00C61126" w:rsidP="00602F1D">
            <w:pPr>
              <w:rPr>
                <w:rStyle w:val="SubtleEmphasis"/>
                <w:b/>
                <w:sz w:val="12"/>
              </w:rPr>
            </w:pPr>
          </w:p>
        </w:tc>
        <w:tc>
          <w:tcPr>
            <w:tcW w:w="2835" w:type="dxa"/>
            <w:tcBorders>
              <w:top w:val="nil"/>
              <w:left w:val="nil"/>
              <w:bottom w:val="single" w:sz="2" w:space="0" w:color="auto"/>
              <w:right w:val="nil"/>
            </w:tcBorders>
            <w:vAlign w:val="center"/>
          </w:tcPr>
          <w:p w14:paraId="71CA79C5" w14:textId="70273DDD" w:rsidR="00C61126" w:rsidRPr="000517C7" w:rsidRDefault="000A70AC" w:rsidP="00602F1D">
            <w:pPr>
              <w:rPr>
                <w:rStyle w:val="SubtleEmphasis"/>
                <w:b/>
              </w:rPr>
            </w:pPr>
            <w:r>
              <w:rPr>
                <w:rStyle w:val="SubtleEmphasis"/>
                <w:b/>
              </w:rPr>
              <w:t>F</w:t>
            </w:r>
            <w:r w:rsidR="00C61126">
              <w:rPr>
                <w:rStyle w:val="SubtleEmphasis"/>
                <w:b/>
              </w:rPr>
              <w:t>járfestingarleið</w:t>
            </w:r>
          </w:p>
        </w:tc>
        <w:tc>
          <w:tcPr>
            <w:tcW w:w="1843" w:type="dxa"/>
            <w:tcBorders>
              <w:top w:val="nil"/>
              <w:left w:val="nil"/>
              <w:bottom w:val="single" w:sz="2" w:space="0" w:color="auto"/>
              <w:right w:val="nil"/>
            </w:tcBorders>
            <w:vAlign w:val="center"/>
          </w:tcPr>
          <w:p w14:paraId="7FAE5F44" w14:textId="77777777" w:rsidR="00C61126" w:rsidRPr="000517C7" w:rsidRDefault="00C61126" w:rsidP="00602F1D">
            <w:pPr>
              <w:rPr>
                <w:rStyle w:val="SubtleEmphasis"/>
                <w:b/>
              </w:rPr>
            </w:pPr>
            <w:r w:rsidRPr="000517C7">
              <w:rPr>
                <w:rStyle w:val="SubtleEmphasis"/>
                <w:b/>
              </w:rPr>
              <w:t>Aldur í Ævilínu</w:t>
            </w:r>
          </w:p>
        </w:tc>
      </w:tr>
      <w:tr w:rsidR="00C61126" w14:paraId="63A4AEEC"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417F94C0" w14:textId="2C83784E" w:rsidR="00C61126" w:rsidRDefault="00D234A4" w:rsidP="00602F1D">
            <w:pPr>
              <w:jc w:val="right"/>
              <w:rPr>
                <w:rStyle w:val="SubtleEmphasis"/>
              </w:rPr>
            </w:pPr>
            <w:r>
              <w:rPr>
                <w:rStyle w:val="SubtleEmphasis"/>
              </w:rPr>
              <w:fldChar w:fldCharType="begin">
                <w:ffData>
                  <w:name w:val="SPARN_AEVILINA"/>
                  <w:enabled/>
                  <w:calcOnExit w:val="0"/>
                  <w:textInput>
                    <w:maxLength w:val="1"/>
                  </w:textInput>
                </w:ffData>
              </w:fldChar>
            </w:r>
            <w:bookmarkStart w:id="8" w:name="SPARN_AEVILINA"/>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8"/>
          </w:p>
        </w:tc>
        <w:tc>
          <w:tcPr>
            <w:tcW w:w="261" w:type="dxa"/>
            <w:tcBorders>
              <w:top w:val="nil"/>
              <w:left w:val="single" w:sz="4" w:space="0" w:color="auto"/>
              <w:bottom w:val="nil"/>
              <w:right w:val="nil"/>
            </w:tcBorders>
          </w:tcPr>
          <w:p w14:paraId="57B00E82" w14:textId="77777777" w:rsidR="00C61126" w:rsidRPr="00C61126" w:rsidRDefault="00C61126" w:rsidP="00602F1D">
            <w:pPr>
              <w:rPr>
                <w:rStyle w:val="SubtleEmphasis"/>
                <w:sz w:val="12"/>
              </w:rPr>
            </w:pPr>
          </w:p>
        </w:tc>
        <w:tc>
          <w:tcPr>
            <w:tcW w:w="2835" w:type="dxa"/>
            <w:tcBorders>
              <w:left w:val="nil"/>
              <w:right w:val="nil"/>
            </w:tcBorders>
            <w:vAlign w:val="center"/>
          </w:tcPr>
          <w:p w14:paraId="567A6EE7" w14:textId="46DE42A8" w:rsidR="00C61126" w:rsidRDefault="00C61126" w:rsidP="00602F1D">
            <w:pPr>
              <w:rPr>
                <w:rStyle w:val="SubtleEmphasis"/>
              </w:rPr>
            </w:pPr>
            <w:r>
              <w:rPr>
                <w:rStyle w:val="SubtleEmphasis"/>
              </w:rPr>
              <w:t>Ævilína</w:t>
            </w:r>
          </w:p>
        </w:tc>
        <w:tc>
          <w:tcPr>
            <w:tcW w:w="1843" w:type="dxa"/>
            <w:tcBorders>
              <w:left w:val="nil"/>
              <w:right w:val="nil"/>
            </w:tcBorders>
            <w:vAlign w:val="center"/>
          </w:tcPr>
          <w:p w14:paraId="31FD7600" w14:textId="12DAD261" w:rsidR="00C61126" w:rsidRDefault="00507677" w:rsidP="00602F1D">
            <w:pPr>
              <w:rPr>
                <w:rStyle w:val="SubtleEmphasis"/>
              </w:rPr>
            </w:pPr>
            <w:r>
              <w:rPr>
                <w:rStyle w:val="SubtleEmphasis"/>
              </w:rPr>
              <w:t>Lífeyrisauki</w:t>
            </w:r>
            <w:r w:rsidR="00C61126">
              <w:rPr>
                <w:rStyle w:val="SubtleEmphasis"/>
              </w:rPr>
              <w:t xml:space="preserve"> 1-5</w:t>
            </w:r>
          </w:p>
        </w:tc>
      </w:tr>
      <w:tr w:rsidR="00C61126" w14:paraId="3961C951"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3FD7742B" w14:textId="4EA1D9CC" w:rsidR="00C61126" w:rsidRDefault="00D234A4" w:rsidP="00602F1D">
            <w:pPr>
              <w:jc w:val="right"/>
              <w:rPr>
                <w:rStyle w:val="SubtleEmphasis"/>
              </w:rPr>
            </w:pPr>
            <w:r>
              <w:rPr>
                <w:rStyle w:val="SubtleEmphasis"/>
              </w:rPr>
              <w:fldChar w:fldCharType="begin">
                <w:ffData>
                  <w:name w:val="SPARN_LIFEYRISAUKI1"/>
                  <w:enabled/>
                  <w:calcOnExit w:val="0"/>
                  <w:textInput>
                    <w:maxLength w:val="1"/>
                  </w:textInput>
                </w:ffData>
              </w:fldChar>
            </w:r>
            <w:bookmarkStart w:id="9" w:name="SPARN_LIFEYRISAUKI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9"/>
          </w:p>
        </w:tc>
        <w:tc>
          <w:tcPr>
            <w:tcW w:w="261" w:type="dxa"/>
            <w:tcBorders>
              <w:top w:val="nil"/>
              <w:left w:val="single" w:sz="4" w:space="0" w:color="auto"/>
              <w:bottom w:val="nil"/>
              <w:right w:val="nil"/>
            </w:tcBorders>
          </w:tcPr>
          <w:p w14:paraId="071A2711" w14:textId="77777777" w:rsidR="00C61126" w:rsidRPr="00C61126" w:rsidRDefault="00C61126" w:rsidP="00602F1D">
            <w:pPr>
              <w:rPr>
                <w:rStyle w:val="SubtleEmphasis"/>
                <w:sz w:val="12"/>
              </w:rPr>
            </w:pPr>
          </w:p>
        </w:tc>
        <w:tc>
          <w:tcPr>
            <w:tcW w:w="2835" w:type="dxa"/>
            <w:tcBorders>
              <w:left w:val="nil"/>
              <w:right w:val="nil"/>
            </w:tcBorders>
            <w:vAlign w:val="center"/>
          </w:tcPr>
          <w:p w14:paraId="479066B2" w14:textId="18296526" w:rsidR="00C61126" w:rsidRDefault="00C61126" w:rsidP="00602F1D">
            <w:pPr>
              <w:rPr>
                <w:rStyle w:val="SubtleEmphasis"/>
              </w:rPr>
            </w:pPr>
            <w:r>
              <w:rPr>
                <w:rStyle w:val="SubtleEmphasis"/>
              </w:rPr>
              <w:t>Lífeyrisauki 1</w:t>
            </w:r>
          </w:p>
        </w:tc>
        <w:tc>
          <w:tcPr>
            <w:tcW w:w="1843" w:type="dxa"/>
            <w:tcBorders>
              <w:left w:val="nil"/>
              <w:right w:val="nil"/>
            </w:tcBorders>
            <w:vAlign w:val="center"/>
          </w:tcPr>
          <w:p w14:paraId="09C082AC" w14:textId="77777777" w:rsidR="00C61126" w:rsidRDefault="00C61126" w:rsidP="00602F1D">
            <w:pPr>
              <w:rPr>
                <w:rStyle w:val="SubtleEmphasis"/>
              </w:rPr>
            </w:pPr>
            <w:r>
              <w:rPr>
                <w:rStyle w:val="SubtleEmphasis"/>
              </w:rPr>
              <w:t>30 ára og yngri</w:t>
            </w:r>
          </w:p>
        </w:tc>
      </w:tr>
      <w:tr w:rsidR="00C61126" w14:paraId="3355B871"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7774F12E" w14:textId="3CCAF347" w:rsidR="00C61126" w:rsidRDefault="00D234A4" w:rsidP="00602F1D">
            <w:pPr>
              <w:jc w:val="right"/>
              <w:rPr>
                <w:rStyle w:val="SubtleEmphasis"/>
              </w:rPr>
            </w:pPr>
            <w:r>
              <w:rPr>
                <w:rStyle w:val="SubtleEmphasis"/>
              </w:rPr>
              <w:fldChar w:fldCharType="begin">
                <w:ffData>
                  <w:name w:val="SPARN_LIFEYRISAUKI2"/>
                  <w:enabled/>
                  <w:calcOnExit w:val="0"/>
                  <w:textInput>
                    <w:maxLength w:val="1"/>
                  </w:textInput>
                </w:ffData>
              </w:fldChar>
            </w:r>
            <w:bookmarkStart w:id="10" w:name="SPARN_LIFEYRISAUKI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0"/>
          </w:p>
        </w:tc>
        <w:tc>
          <w:tcPr>
            <w:tcW w:w="261" w:type="dxa"/>
            <w:tcBorders>
              <w:top w:val="nil"/>
              <w:left w:val="single" w:sz="4" w:space="0" w:color="auto"/>
              <w:bottom w:val="nil"/>
              <w:right w:val="nil"/>
            </w:tcBorders>
          </w:tcPr>
          <w:p w14:paraId="3117DAEA" w14:textId="77777777" w:rsidR="00C61126" w:rsidRPr="00C61126" w:rsidRDefault="00C61126" w:rsidP="00602F1D">
            <w:pPr>
              <w:rPr>
                <w:rStyle w:val="SubtleEmphasis"/>
                <w:sz w:val="12"/>
              </w:rPr>
            </w:pPr>
          </w:p>
        </w:tc>
        <w:tc>
          <w:tcPr>
            <w:tcW w:w="2835" w:type="dxa"/>
            <w:tcBorders>
              <w:left w:val="nil"/>
              <w:right w:val="nil"/>
            </w:tcBorders>
            <w:vAlign w:val="center"/>
          </w:tcPr>
          <w:p w14:paraId="5C5559DC" w14:textId="11597CDD" w:rsidR="00C61126" w:rsidRDefault="00C61126" w:rsidP="00602F1D">
            <w:pPr>
              <w:rPr>
                <w:rStyle w:val="SubtleEmphasis"/>
              </w:rPr>
            </w:pPr>
            <w:r>
              <w:rPr>
                <w:rStyle w:val="SubtleEmphasis"/>
              </w:rPr>
              <w:t>Lífeyrisauki 2</w:t>
            </w:r>
          </w:p>
        </w:tc>
        <w:tc>
          <w:tcPr>
            <w:tcW w:w="1843" w:type="dxa"/>
            <w:tcBorders>
              <w:left w:val="nil"/>
              <w:right w:val="nil"/>
            </w:tcBorders>
            <w:vAlign w:val="center"/>
          </w:tcPr>
          <w:p w14:paraId="51653958" w14:textId="77777777" w:rsidR="00C61126" w:rsidRDefault="00C61126" w:rsidP="00602F1D">
            <w:pPr>
              <w:rPr>
                <w:rStyle w:val="SubtleEmphasis"/>
              </w:rPr>
            </w:pPr>
            <w:r>
              <w:rPr>
                <w:rStyle w:val="SubtleEmphasis"/>
              </w:rPr>
              <w:t>31 – 40 ára</w:t>
            </w:r>
          </w:p>
        </w:tc>
      </w:tr>
      <w:tr w:rsidR="00C61126" w14:paraId="7F12DC53"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7A9187DC" w14:textId="5E445F61" w:rsidR="00C61126" w:rsidRDefault="00D234A4" w:rsidP="00602F1D">
            <w:pPr>
              <w:jc w:val="right"/>
              <w:rPr>
                <w:rStyle w:val="SubtleEmphasis"/>
              </w:rPr>
            </w:pPr>
            <w:r>
              <w:rPr>
                <w:rStyle w:val="SubtleEmphasis"/>
              </w:rPr>
              <w:fldChar w:fldCharType="begin">
                <w:ffData>
                  <w:name w:val="SPARN_LIFEYRISAUKI3"/>
                  <w:enabled/>
                  <w:calcOnExit w:val="0"/>
                  <w:textInput>
                    <w:maxLength w:val="1"/>
                  </w:textInput>
                </w:ffData>
              </w:fldChar>
            </w:r>
            <w:bookmarkStart w:id="11" w:name="SPARN_LIFEYRISAUKI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1"/>
          </w:p>
        </w:tc>
        <w:tc>
          <w:tcPr>
            <w:tcW w:w="261" w:type="dxa"/>
            <w:tcBorders>
              <w:top w:val="nil"/>
              <w:left w:val="single" w:sz="4" w:space="0" w:color="auto"/>
              <w:bottom w:val="nil"/>
              <w:right w:val="nil"/>
            </w:tcBorders>
          </w:tcPr>
          <w:p w14:paraId="6553EA22" w14:textId="77777777" w:rsidR="00C61126" w:rsidRPr="00C61126" w:rsidRDefault="00C61126" w:rsidP="00602F1D">
            <w:pPr>
              <w:rPr>
                <w:rStyle w:val="SubtleEmphasis"/>
                <w:sz w:val="12"/>
              </w:rPr>
            </w:pPr>
          </w:p>
        </w:tc>
        <w:tc>
          <w:tcPr>
            <w:tcW w:w="2835" w:type="dxa"/>
            <w:tcBorders>
              <w:left w:val="nil"/>
              <w:right w:val="nil"/>
            </w:tcBorders>
            <w:vAlign w:val="center"/>
          </w:tcPr>
          <w:p w14:paraId="3C1607B2" w14:textId="7B36186C" w:rsidR="00C61126" w:rsidRDefault="00C61126" w:rsidP="00602F1D">
            <w:pPr>
              <w:rPr>
                <w:rStyle w:val="SubtleEmphasis"/>
              </w:rPr>
            </w:pPr>
            <w:r>
              <w:rPr>
                <w:rStyle w:val="SubtleEmphasis"/>
              </w:rPr>
              <w:t>Lífeyrisauki 3</w:t>
            </w:r>
          </w:p>
        </w:tc>
        <w:tc>
          <w:tcPr>
            <w:tcW w:w="1843" w:type="dxa"/>
            <w:tcBorders>
              <w:left w:val="nil"/>
              <w:right w:val="nil"/>
            </w:tcBorders>
            <w:vAlign w:val="center"/>
          </w:tcPr>
          <w:p w14:paraId="34320C69" w14:textId="25486CF1" w:rsidR="00C61126" w:rsidRDefault="00C61126" w:rsidP="00602F1D">
            <w:pPr>
              <w:rPr>
                <w:rStyle w:val="SubtleEmphasis"/>
              </w:rPr>
            </w:pPr>
            <w:r>
              <w:rPr>
                <w:rStyle w:val="SubtleEmphasis"/>
              </w:rPr>
              <w:t xml:space="preserve">41 – </w:t>
            </w:r>
            <w:r w:rsidR="00DF0B20">
              <w:rPr>
                <w:rStyle w:val="SubtleEmphasis"/>
              </w:rPr>
              <w:t>5</w:t>
            </w:r>
            <w:r w:rsidR="00F62B98">
              <w:rPr>
                <w:rStyle w:val="SubtleEmphasis"/>
              </w:rPr>
              <w:t>4</w:t>
            </w:r>
            <w:r w:rsidR="00DF0B20">
              <w:rPr>
                <w:rStyle w:val="SubtleEmphasis"/>
              </w:rPr>
              <w:t xml:space="preserve"> </w:t>
            </w:r>
            <w:r>
              <w:rPr>
                <w:rStyle w:val="SubtleEmphasis"/>
              </w:rPr>
              <w:t>ára</w:t>
            </w:r>
          </w:p>
        </w:tc>
      </w:tr>
      <w:tr w:rsidR="00C61126" w14:paraId="4E5B89AF"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119B6799" w14:textId="01B9D036" w:rsidR="00C61126" w:rsidRDefault="00D234A4" w:rsidP="00602F1D">
            <w:pPr>
              <w:jc w:val="right"/>
              <w:rPr>
                <w:rStyle w:val="SubtleEmphasis"/>
              </w:rPr>
            </w:pPr>
            <w:r>
              <w:rPr>
                <w:rStyle w:val="SubtleEmphasis"/>
              </w:rPr>
              <w:fldChar w:fldCharType="begin">
                <w:ffData>
                  <w:name w:val="SPARN_LIFEYRISAUKI4"/>
                  <w:enabled/>
                  <w:calcOnExit w:val="0"/>
                  <w:textInput>
                    <w:maxLength w:val="1"/>
                  </w:textInput>
                </w:ffData>
              </w:fldChar>
            </w:r>
            <w:bookmarkStart w:id="12" w:name="SPARN_LIFEYRISAUKI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2"/>
          </w:p>
        </w:tc>
        <w:tc>
          <w:tcPr>
            <w:tcW w:w="261" w:type="dxa"/>
            <w:tcBorders>
              <w:top w:val="nil"/>
              <w:left w:val="single" w:sz="4" w:space="0" w:color="auto"/>
              <w:bottom w:val="nil"/>
              <w:right w:val="nil"/>
            </w:tcBorders>
          </w:tcPr>
          <w:p w14:paraId="350CB7BF" w14:textId="77777777" w:rsidR="00C61126" w:rsidRPr="00C61126" w:rsidRDefault="00C61126" w:rsidP="00602F1D">
            <w:pPr>
              <w:rPr>
                <w:rStyle w:val="SubtleEmphasis"/>
                <w:sz w:val="12"/>
              </w:rPr>
            </w:pPr>
          </w:p>
        </w:tc>
        <w:tc>
          <w:tcPr>
            <w:tcW w:w="2835" w:type="dxa"/>
            <w:tcBorders>
              <w:left w:val="nil"/>
              <w:right w:val="nil"/>
            </w:tcBorders>
            <w:vAlign w:val="center"/>
          </w:tcPr>
          <w:p w14:paraId="11E20D69" w14:textId="5F4A00C7" w:rsidR="00C61126" w:rsidRDefault="00C61126" w:rsidP="00602F1D">
            <w:pPr>
              <w:rPr>
                <w:rStyle w:val="SubtleEmphasis"/>
              </w:rPr>
            </w:pPr>
            <w:r>
              <w:rPr>
                <w:rStyle w:val="SubtleEmphasis"/>
              </w:rPr>
              <w:t>Lífeyrisauki 4</w:t>
            </w:r>
          </w:p>
        </w:tc>
        <w:tc>
          <w:tcPr>
            <w:tcW w:w="1843" w:type="dxa"/>
            <w:tcBorders>
              <w:left w:val="nil"/>
              <w:right w:val="nil"/>
            </w:tcBorders>
            <w:vAlign w:val="center"/>
          </w:tcPr>
          <w:p w14:paraId="28292ACC" w14:textId="3949AF2F" w:rsidR="00C61126" w:rsidRDefault="00F62B98" w:rsidP="00602F1D">
            <w:pPr>
              <w:rPr>
                <w:rStyle w:val="SubtleEmphasis"/>
              </w:rPr>
            </w:pPr>
            <w:r>
              <w:rPr>
                <w:rStyle w:val="SubtleEmphasis"/>
              </w:rPr>
              <w:t>55 – 60 ára</w:t>
            </w:r>
          </w:p>
        </w:tc>
      </w:tr>
      <w:tr w:rsidR="00C61126" w14:paraId="73F2E87D"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28BDD38B" w14:textId="1EF6FE46" w:rsidR="00C61126" w:rsidRPr="0042600E" w:rsidRDefault="00D234A4" w:rsidP="00602F1D">
            <w:pPr>
              <w:jc w:val="right"/>
              <w:rPr>
                <w:rStyle w:val="SubtleEmphasis"/>
              </w:rPr>
            </w:pPr>
            <w:r>
              <w:rPr>
                <w:rStyle w:val="SubtleEmphasis"/>
              </w:rPr>
              <w:fldChar w:fldCharType="begin">
                <w:ffData>
                  <w:name w:val="SPARN_LIFEYRISAUKI5"/>
                  <w:enabled/>
                  <w:calcOnExit w:val="0"/>
                  <w:textInput>
                    <w:maxLength w:val="1"/>
                  </w:textInput>
                </w:ffData>
              </w:fldChar>
            </w:r>
            <w:bookmarkStart w:id="13" w:name="SPARN_LIFEYRISAUKI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3"/>
          </w:p>
        </w:tc>
        <w:tc>
          <w:tcPr>
            <w:tcW w:w="261" w:type="dxa"/>
            <w:tcBorders>
              <w:top w:val="nil"/>
              <w:left w:val="single" w:sz="4" w:space="0" w:color="auto"/>
              <w:bottom w:val="nil"/>
              <w:right w:val="nil"/>
            </w:tcBorders>
          </w:tcPr>
          <w:p w14:paraId="33DCEA9F" w14:textId="77777777" w:rsidR="00C61126" w:rsidRPr="00C61126" w:rsidRDefault="00C61126" w:rsidP="00602F1D">
            <w:pPr>
              <w:rPr>
                <w:rStyle w:val="SubtleEmphasis"/>
                <w:sz w:val="12"/>
              </w:rPr>
            </w:pPr>
          </w:p>
        </w:tc>
        <w:tc>
          <w:tcPr>
            <w:tcW w:w="2835" w:type="dxa"/>
            <w:tcBorders>
              <w:left w:val="nil"/>
              <w:right w:val="nil"/>
            </w:tcBorders>
            <w:vAlign w:val="center"/>
          </w:tcPr>
          <w:p w14:paraId="15695497" w14:textId="69CF2B9A" w:rsidR="00C61126" w:rsidRDefault="00C61126" w:rsidP="00602F1D">
            <w:pPr>
              <w:rPr>
                <w:rStyle w:val="SubtleEmphasis"/>
              </w:rPr>
            </w:pPr>
            <w:r>
              <w:rPr>
                <w:rStyle w:val="SubtleEmphasis"/>
              </w:rPr>
              <w:t>Lífeyrisauki 5</w:t>
            </w:r>
            <w:r w:rsidR="00DF0B20">
              <w:rPr>
                <w:rStyle w:val="SubtleEmphasis"/>
              </w:rPr>
              <w:t xml:space="preserve"> innlend skuldabréf</w:t>
            </w:r>
          </w:p>
        </w:tc>
        <w:tc>
          <w:tcPr>
            <w:tcW w:w="1843" w:type="dxa"/>
            <w:tcBorders>
              <w:left w:val="nil"/>
              <w:bottom w:val="single" w:sz="2" w:space="0" w:color="auto"/>
              <w:right w:val="nil"/>
            </w:tcBorders>
            <w:vAlign w:val="center"/>
          </w:tcPr>
          <w:p w14:paraId="04DED736" w14:textId="1E724BEB" w:rsidR="00C61126" w:rsidRDefault="00DF0B20" w:rsidP="00602F1D">
            <w:pPr>
              <w:rPr>
                <w:rStyle w:val="SubtleEmphasis"/>
              </w:rPr>
            </w:pPr>
            <w:r>
              <w:rPr>
                <w:rStyle w:val="SubtleEmphasis"/>
              </w:rPr>
              <w:t>61 árs og eldri</w:t>
            </w:r>
          </w:p>
        </w:tc>
      </w:tr>
      <w:tr w:rsidR="00C61126" w14:paraId="43DD8FE1"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48CDF441" w14:textId="767E515E" w:rsidR="00C61126" w:rsidRDefault="00D234A4" w:rsidP="00602F1D">
            <w:pPr>
              <w:jc w:val="right"/>
              <w:rPr>
                <w:rStyle w:val="SubtleEmphasis"/>
              </w:rPr>
            </w:pPr>
            <w:r>
              <w:rPr>
                <w:rStyle w:val="SubtleEmphasis"/>
              </w:rPr>
              <w:fldChar w:fldCharType="begin">
                <w:ffData>
                  <w:name w:val="SPARN_INNLSKBR"/>
                  <w:enabled/>
                  <w:calcOnExit w:val="0"/>
                  <w:textInput>
                    <w:maxLength w:val="1"/>
                  </w:textInput>
                </w:ffData>
              </w:fldChar>
            </w:r>
            <w:bookmarkStart w:id="14" w:name="SPARN_INNLSKB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4"/>
          </w:p>
        </w:tc>
        <w:tc>
          <w:tcPr>
            <w:tcW w:w="261" w:type="dxa"/>
            <w:tcBorders>
              <w:top w:val="nil"/>
              <w:left w:val="single" w:sz="4" w:space="0" w:color="auto"/>
              <w:bottom w:val="nil"/>
              <w:right w:val="nil"/>
            </w:tcBorders>
          </w:tcPr>
          <w:p w14:paraId="5190EAA6" w14:textId="77777777" w:rsidR="00C61126" w:rsidRPr="00C61126" w:rsidRDefault="00C61126" w:rsidP="00602F1D">
            <w:pPr>
              <w:rPr>
                <w:rStyle w:val="SubtleEmphasis"/>
                <w:sz w:val="12"/>
              </w:rPr>
            </w:pPr>
          </w:p>
        </w:tc>
        <w:tc>
          <w:tcPr>
            <w:tcW w:w="2835" w:type="dxa"/>
            <w:tcBorders>
              <w:left w:val="nil"/>
              <w:right w:val="nil"/>
            </w:tcBorders>
            <w:vAlign w:val="center"/>
          </w:tcPr>
          <w:p w14:paraId="20202A5F" w14:textId="155661EE" w:rsidR="00C61126" w:rsidRDefault="00507677" w:rsidP="00602F1D">
            <w:pPr>
              <w:rPr>
                <w:rStyle w:val="SubtleEmphasis"/>
              </w:rPr>
            </w:pPr>
            <w:r>
              <w:rPr>
                <w:rStyle w:val="SubtleEmphasis"/>
              </w:rPr>
              <w:t>Lífeyrisauki i</w:t>
            </w:r>
            <w:r w:rsidR="00DF0B20">
              <w:rPr>
                <w:rStyle w:val="SubtleEmphasis"/>
              </w:rPr>
              <w:t>nnlán</w:t>
            </w:r>
          </w:p>
        </w:tc>
        <w:tc>
          <w:tcPr>
            <w:tcW w:w="1843" w:type="dxa"/>
            <w:tcBorders>
              <w:left w:val="nil"/>
              <w:bottom w:val="single" w:sz="2" w:space="0" w:color="auto"/>
              <w:right w:val="nil"/>
            </w:tcBorders>
            <w:vAlign w:val="center"/>
          </w:tcPr>
          <w:p w14:paraId="0D06404D" w14:textId="77777777" w:rsidR="00C61126" w:rsidRDefault="00C61126" w:rsidP="00602F1D">
            <w:pPr>
              <w:rPr>
                <w:rStyle w:val="SubtleEmphasis"/>
              </w:rPr>
            </w:pPr>
          </w:p>
        </w:tc>
      </w:tr>
      <w:tr w:rsidR="00C61126" w14:paraId="340FF382" w14:textId="77777777" w:rsidTr="00D234A4">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25E596A3" w14:textId="1102AB2F" w:rsidR="00C61126" w:rsidRDefault="00D234A4" w:rsidP="00602F1D">
            <w:pPr>
              <w:jc w:val="right"/>
              <w:rPr>
                <w:rStyle w:val="SubtleEmphasis"/>
              </w:rPr>
            </w:pPr>
            <w:r>
              <w:rPr>
                <w:rStyle w:val="SubtleEmphasis"/>
              </w:rPr>
              <w:fldChar w:fldCharType="begin">
                <w:ffData>
                  <w:name w:val="SPARN_ERLVERDBR"/>
                  <w:enabled/>
                  <w:calcOnExit w:val="0"/>
                  <w:textInput>
                    <w:maxLength w:val="1"/>
                  </w:textInput>
                </w:ffData>
              </w:fldChar>
            </w:r>
            <w:bookmarkStart w:id="15" w:name="SPARN_ERLVERDB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5"/>
          </w:p>
        </w:tc>
        <w:tc>
          <w:tcPr>
            <w:tcW w:w="261" w:type="dxa"/>
            <w:tcBorders>
              <w:top w:val="nil"/>
              <w:left w:val="single" w:sz="4" w:space="0" w:color="auto"/>
              <w:bottom w:val="nil"/>
              <w:right w:val="nil"/>
            </w:tcBorders>
          </w:tcPr>
          <w:p w14:paraId="3125CF82" w14:textId="77777777" w:rsidR="00C61126" w:rsidRPr="00C61126" w:rsidRDefault="00C61126" w:rsidP="00602F1D">
            <w:pPr>
              <w:rPr>
                <w:rStyle w:val="SubtleEmphasis"/>
                <w:sz w:val="12"/>
              </w:rPr>
            </w:pPr>
          </w:p>
        </w:tc>
        <w:tc>
          <w:tcPr>
            <w:tcW w:w="2835" w:type="dxa"/>
            <w:tcBorders>
              <w:left w:val="nil"/>
              <w:right w:val="nil"/>
            </w:tcBorders>
            <w:vAlign w:val="center"/>
          </w:tcPr>
          <w:p w14:paraId="73D0B444" w14:textId="3C2FC578" w:rsidR="00C61126" w:rsidRDefault="00507677" w:rsidP="00602F1D">
            <w:pPr>
              <w:rPr>
                <w:rStyle w:val="SubtleEmphasis"/>
              </w:rPr>
            </w:pPr>
            <w:r>
              <w:rPr>
                <w:rStyle w:val="SubtleEmphasis"/>
              </w:rPr>
              <w:t>Lífeyrisauki e</w:t>
            </w:r>
            <w:r w:rsidR="00C61126">
              <w:rPr>
                <w:rStyle w:val="SubtleEmphasis"/>
              </w:rPr>
              <w:t>rlend verðbréf</w:t>
            </w:r>
          </w:p>
        </w:tc>
        <w:tc>
          <w:tcPr>
            <w:tcW w:w="1843" w:type="dxa"/>
            <w:tcBorders>
              <w:top w:val="single" w:sz="2" w:space="0" w:color="auto"/>
              <w:left w:val="nil"/>
              <w:bottom w:val="single" w:sz="2" w:space="0" w:color="auto"/>
              <w:right w:val="nil"/>
            </w:tcBorders>
            <w:vAlign w:val="center"/>
          </w:tcPr>
          <w:p w14:paraId="28A098BB" w14:textId="77777777" w:rsidR="00C61126" w:rsidRDefault="00C61126" w:rsidP="00602F1D">
            <w:pPr>
              <w:rPr>
                <w:rStyle w:val="SubtleEmphasis"/>
              </w:rPr>
            </w:pPr>
          </w:p>
        </w:tc>
      </w:tr>
    </w:tbl>
    <w:p w14:paraId="62FD9732" w14:textId="77777777" w:rsidR="00AA342C" w:rsidRDefault="00AA342C" w:rsidP="00602F1D">
      <w:pPr>
        <w:rPr>
          <w:rStyle w:val="SubtleEmphasis"/>
        </w:rPr>
      </w:pPr>
    </w:p>
    <w:p w14:paraId="05627EC7" w14:textId="77777777" w:rsidR="00F770E6" w:rsidRDefault="0026497A" w:rsidP="00F770E6">
      <w:pPr>
        <w:rPr>
          <w:rFonts w:ascii="Calibri" w:hAnsi="Calibri" w:cs="Calibri"/>
          <w:sz w:val="16"/>
          <w:szCs w:val="16"/>
          <w:lang w:val="en-US"/>
        </w:rPr>
      </w:pPr>
      <w:bookmarkStart w:id="16" w:name="_Hlk135656697"/>
      <w:proofErr w:type="spellStart"/>
      <w:r w:rsidRPr="0026497A">
        <w:rPr>
          <w:rFonts w:ascii="Calibri" w:hAnsi="Calibri" w:cs="Calibri"/>
          <w:sz w:val="16"/>
          <w:szCs w:val="16"/>
          <w:lang w:val="en-US"/>
        </w:rPr>
        <w:t>Undirrituð</w:t>
      </w:r>
      <w:proofErr w:type="spellEnd"/>
      <w:r w:rsidRPr="0026497A">
        <w:rPr>
          <w:rFonts w:ascii="Calibri" w:hAnsi="Calibri" w:cs="Calibri"/>
          <w:sz w:val="16"/>
          <w:szCs w:val="16"/>
          <w:lang w:val="en-US"/>
        </w:rPr>
        <w:t>/</w:t>
      </w:r>
      <w:proofErr w:type="spellStart"/>
      <w:r w:rsidRPr="0026497A">
        <w:rPr>
          <w:rFonts w:ascii="Calibri" w:hAnsi="Calibri" w:cs="Calibri"/>
          <w:sz w:val="16"/>
          <w:szCs w:val="16"/>
          <w:lang w:val="en-US"/>
        </w:rPr>
        <w:t>undirritaður</w:t>
      </w:r>
      <w:proofErr w:type="spellEnd"/>
      <w:r w:rsidRPr="0026497A">
        <w:rPr>
          <w:rFonts w:ascii="Calibri" w:hAnsi="Calibri" w:cs="Calibri"/>
          <w:sz w:val="16"/>
          <w:szCs w:val="16"/>
          <w:lang w:val="en-US"/>
        </w:rPr>
        <w:t xml:space="preserve"> </w:t>
      </w:r>
      <w:proofErr w:type="spellStart"/>
      <w:r w:rsidRPr="0026497A">
        <w:rPr>
          <w:rFonts w:ascii="Calibri" w:hAnsi="Calibri" w:cs="Calibri"/>
          <w:sz w:val="16"/>
          <w:szCs w:val="16"/>
          <w:lang w:val="en-US"/>
        </w:rPr>
        <w:t>samþykkir</w:t>
      </w:r>
      <w:proofErr w:type="spellEnd"/>
      <w:r w:rsidRPr="0026497A">
        <w:rPr>
          <w:rFonts w:ascii="Calibri" w:hAnsi="Calibri" w:cs="Calibri"/>
          <w:sz w:val="16"/>
          <w:szCs w:val="16"/>
          <w:lang w:val="en-US"/>
        </w:rPr>
        <w:t xml:space="preserve"> </w:t>
      </w:r>
      <w:proofErr w:type="spellStart"/>
      <w:r w:rsidRPr="0026497A">
        <w:rPr>
          <w:rFonts w:ascii="Calibri" w:hAnsi="Calibri" w:cs="Calibri"/>
          <w:sz w:val="16"/>
          <w:szCs w:val="16"/>
          <w:lang w:val="en-US"/>
        </w:rPr>
        <w:t>að</w:t>
      </w:r>
      <w:proofErr w:type="spellEnd"/>
      <w:r w:rsidRPr="0026497A">
        <w:rPr>
          <w:rFonts w:ascii="Calibri" w:hAnsi="Calibri" w:cs="Calibri"/>
          <w:sz w:val="16"/>
          <w:szCs w:val="16"/>
          <w:lang w:val="en-US"/>
        </w:rPr>
        <w:t xml:space="preserve"> </w:t>
      </w:r>
      <w:proofErr w:type="spellStart"/>
      <w:r w:rsidRPr="0026497A">
        <w:rPr>
          <w:rFonts w:ascii="Calibri" w:hAnsi="Calibri" w:cs="Calibri"/>
          <w:sz w:val="16"/>
          <w:szCs w:val="16"/>
          <w:lang w:val="en-US"/>
        </w:rPr>
        <w:t>fá</w:t>
      </w:r>
      <w:proofErr w:type="spellEnd"/>
      <w:r w:rsidRPr="0026497A">
        <w:rPr>
          <w:rFonts w:ascii="Calibri" w:hAnsi="Calibri" w:cs="Calibri"/>
          <w:sz w:val="16"/>
          <w:szCs w:val="16"/>
          <w:lang w:val="en-US"/>
        </w:rPr>
        <w:t xml:space="preserve"> </w:t>
      </w:r>
      <w:proofErr w:type="spellStart"/>
      <w:r w:rsidRPr="0026497A">
        <w:rPr>
          <w:rFonts w:ascii="Calibri" w:hAnsi="Calibri" w:cs="Calibri"/>
          <w:sz w:val="16"/>
          <w:szCs w:val="16"/>
          <w:lang w:val="en-US"/>
        </w:rPr>
        <w:t>lykilupplýsingar</w:t>
      </w:r>
      <w:proofErr w:type="spellEnd"/>
      <w:r w:rsidRPr="0026497A">
        <w:rPr>
          <w:rFonts w:ascii="Calibri" w:hAnsi="Calibri" w:cs="Calibri"/>
          <w:sz w:val="16"/>
          <w:szCs w:val="16"/>
          <w:lang w:val="en-US"/>
        </w:rPr>
        <w:t xml:space="preserve"> um </w:t>
      </w:r>
      <w:proofErr w:type="spellStart"/>
      <w:r w:rsidRPr="0026497A">
        <w:rPr>
          <w:rFonts w:ascii="Calibri" w:hAnsi="Calibri" w:cs="Calibri"/>
          <w:sz w:val="16"/>
          <w:szCs w:val="16"/>
          <w:lang w:val="en-US"/>
        </w:rPr>
        <w:t>fjárfestingarleiðir</w:t>
      </w:r>
      <w:proofErr w:type="spellEnd"/>
      <w:r w:rsidRPr="0026497A">
        <w:rPr>
          <w:rFonts w:ascii="Calibri" w:hAnsi="Calibri" w:cs="Calibri"/>
          <w:sz w:val="16"/>
          <w:szCs w:val="16"/>
          <w:lang w:val="en-US"/>
        </w:rPr>
        <w:t xml:space="preserve"> </w:t>
      </w:r>
      <w:proofErr w:type="spellStart"/>
      <w:r w:rsidRPr="0026497A">
        <w:rPr>
          <w:rFonts w:ascii="Calibri" w:hAnsi="Calibri" w:cs="Calibri"/>
          <w:sz w:val="16"/>
          <w:szCs w:val="16"/>
          <w:lang w:val="en-US"/>
        </w:rPr>
        <w:t>sjóðsins</w:t>
      </w:r>
      <w:proofErr w:type="spellEnd"/>
      <w:r w:rsidRPr="0026497A">
        <w:rPr>
          <w:rFonts w:ascii="Calibri" w:hAnsi="Calibri" w:cs="Calibri"/>
          <w:sz w:val="16"/>
          <w:szCs w:val="16"/>
          <w:lang w:val="en-US"/>
        </w:rPr>
        <w:t xml:space="preserve"> á </w:t>
      </w:r>
      <w:proofErr w:type="spellStart"/>
      <w:r w:rsidRPr="0026497A">
        <w:rPr>
          <w:rFonts w:ascii="Calibri" w:hAnsi="Calibri" w:cs="Calibri"/>
          <w:sz w:val="16"/>
          <w:szCs w:val="16"/>
          <w:lang w:val="en-US"/>
        </w:rPr>
        <w:t>vefsíðu</w:t>
      </w:r>
      <w:proofErr w:type="spellEnd"/>
      <w:r w:rsidRPr="0026497A">
        <w:rPr>
          <w:rFonts w:ascii="Calibri" w:hAnsi="Calibri" w:cs="Calibri"/>
          <w:sz w:val="16"/>
          <w:szCs w:val="16"/>
          <w:lang w:val="en-US"/>
        </w:rPr>
        <w:t xml:space="preserve"> Arion </w:t>
      </w:r>
      <w:proofErr w:type="spellStart"/>
      <w:r w:rsidRPr="0026497A">
        <w:rPr>
          <w:rFonts w:ascii="Calibri" w:hAnsi="Calibri" w:cs="Calibri"/>
          <w:sz w:val="16"/>
          <w:szCs w:val="16"/>
          <w:lang w:val="en-US"/>
        </w:rPr>
        <w:t>banka</w:t>
      </w:r>
      <w:proofErr w:type="spellEnd"/>
      <w:r w:rsidRPr="0026497A">
        <w:rPr>
          <w:rFonts w:ascii="Calibri" w:hAnsi="Calibri" w:cs="Calibri"/>
          <w:sz w:val="16"/>
          <w:szCs w:val="16"/>
          <w:lang w:val="en-US"/>
        </w:rPr>
        <w:t xml:space="preserve">, </w:t>
      </w:r>
      <w:proofErr w:type="spellStart"/>
      <w:r w:rsidRPr="0026497A">
        <w:rPr>
          <w:rFonts w:ascii="Calibri" w:hAnsi="Calibri" w:cs="Calibri"/>
          <w:sz w:val="16"/>
          <w:szCs w:val="16"/>
          <w:lang w:val="en-US"/>
        </w:rPr>
        <w:t>nánar</w:t>
      </w:r>
      <w:proofErr w:type="spellEnd"/>
      <w:r w:rsidRPr="0026497A">
        <w:rPr>
          <w:rFonts w:ascii="Calibri" w:hAnsi="Calibri" w:cs="Calibri"/>
          <w:sz w:val="16"/>
          <w:szCs w:val="16"/>
          <w:lang w:val="en-US"/>
        </w:rPr>
        <w:t xml:space="preserve"> </w:t>
      </w:r>
      <w:proofErr w:type="spellStart"/>
      <w:r w:rsidRPr="0026497A">
        <w:rPr>
          <w:rFonts w:ascii="Calibri" w:hAnsi="Calibri" w:cs="Calibri"/>
          <w:sz w:val="16"/>
          <w:szCs w:val="16"/>
          <w:lang w:val="en-US"/>
        </w:rPr>
        <w:t>tiltekið</w:t>
      </w:r>
      <w:proofErr w:type="spellEnd"/>
      <w:r w:rsidRPr="0026497A">
        <w:rPr>
          <w:rFonts w:ascii="Calibri" w:hAnsi="Calibri" w:cs="Calibri"/>
          <w:sz w:val="16"/>
          <w:szCs w:val="16"/>
          <w:lang w:val="en-US"/>
        </w:rPr>
        <w:t xml:space="preserve"> </w:t>
      </w:r>
      <w:proofErr w:type="spellStart"/>
      <w:r w:rsidR="00F770E6">
        <w:rPr>
          <w:rFonts w:ascii="Calibri" w:hAnsi="Calibri" w:cs="Calibri"/>
          <w:sz w:val="16"/>
          <w:szCs w:val="16"/>
          <w:lang w:val="en-US"/>
        </w:rPr>
        <w:t>hér</w:t>
      </w:r>
      <w:proofErr w:type="spellEnd"/>
      <w:r w:rsidR="00F770E6">
        <w:rPr>
          <w:rFonts w:ascii="Calibri" w:hAnsi="Calibri" w:cs="Calibri"/>
          <w:sz w:val="16"/>
          <w:szCs w:val="16"/>
          <w:lang w:val="en-US"/>
        </w:rPr>
        <w:t>:</w:t>
      </w:r>
    </w:p>
    <w:p w14:paraId="3D34108C" w14:textId="77777777" w:rsidR="00F770E6" w:rsidRPr="00F770E6" w:rsidRDefault="00F770E6" w:rsidP="00F770E6">
      <w:pPr>
        <w:rPr>
          <w:rFonts w:ascii="Calibri" w:hAnsi="Calibri" w:cs="Calibri"/>
          <w:sz w:val="2"/>
          <w:szCs w:val="2"/>
          <w:lang w:val="en-US"/>
        </w:rPr>
      </w:pPr>
    </w:p>
    <w:bookmarkStart w:id="17" w:name="_Hlk216701573"/>
    <w:p w14:paraId="7AFB17F9" w14:textId="21653113" w:rsidR="00F770E6" w:rsidRDefault="00F770E6" w:rsidP="00F770E6">
      <w:pPr>
        <w:rPr>
          <w:rFonts w:ascii="Calibri" w:hAnsi="Calibri" w:cs="Calibri"/>
          <w:sz w:val="16"/>
          <w:szCs w:val="16"/>
          <w:lang w:val="en-US"/>
        </w:rPr>
      </w:pPr>
      <w:r>
        <w:rPr>
          <w:rFonts w:ascii="Calibri" w:hAnsi="Calibri" w:cs="Calibri"/>
          <w:sz w:val="16"/>
          <w:szCs w:val="16"/>
          <w:lang w:val="en-US"/>
        </w:rPr>
        <w:fldChar w:fldCharType="begin"/>
      </w:r>
      <w:r>
        <w:rPr>
          <w:rFonts w:ascii="Calibri" w:hAnsi="Calibri" w:cs="Calibri"/>
          <w:sz w:val="16"/>
          <w:szCs w:val="16"/>
          <w:lang w:val="en-US"/>
        </w:rPr>
        <w:instrText>HYPERLINK "</w:instrText>
      </w:r>
      <w:r w:rsidRPr="00F770E6">
        <w:rPr>
          <w:rFonts w:ascii="Calibri" w:hAnsi="Calibri" w:cs="Calibri"/>
          <w:sz w:val="16"/>
          <w:szCs w:val="16"/>
          <w:lang w:val="en-US"/>
        </w:rPr>
        <w:instrText>https://www.arionbanki.is/einstaklingar/sparnadur/vidbotarlifeyrissparnadur/fjarfestingarleidir/#lykilupplysingar</w:instrText>
      </w:r>
      <w:r>
        <w:rPr>
          <w:rFonts w:ascii="Calibri" w:hAnsi="Calibri" w:cs="Calibri"/>
          <w:sz w:val="16"/>
          <w:szCs w:val="16"/>
          <w:lang w:val="en-US"/>
        </w:rPr>
        <w:instrText>"</w:instrText>
      </w:r>
      <w:r>
        <w:rPr>
          <w:rFonts w:ascii="Calibri" w:hAnsi="Calibri" w:cs="Calibri"/>
          <w:sz w:val="16"/>
          <w:szCs w:val="16"/>
          <w:lang w:val="en-US"/>
        </w:rPr>
        <w:fldChar w:fldCharType="separate"/>
      </w:r>
      <w:r w:rsidRPr="00FB30F6">
        <w:rPr>
          <w:rStyle w:val="Hyperlink"/>
          <w:rFonts w:ascii="Calibri" w:hAnsi="Calibri" w:cs="Calibri"/>
          <w:sz w:val="16"/>
          <w:szCs w:val="16"/>
          <w:lang w:val="en-US"/>
        </w:rPr>
        <w:t>https://www.arionbanki.is/einstaklingar/sparnadur/vidbotarlifeyrissparnadur/fjarfestingarleidir/#lykilupplysingar</w:t>
      </w:r>
      <w:r>
        <w:rPr>
          <w:rFonts w:ascii="Calibri" w:hAnsi="Calibri" w:cs="Calibri"/>
          <w:sz w:val="16"/>
          <w:szCs w:val="16"/>
          <w:lang w:val="en-US"/>
        </w:rPr>
        <w:fldChar w:fldCharType="end"/>
      </w:r>
      <w:bookmarkEnd w:id="17"/>
      <w:r w:rsidR="005238FE">
        <w:rPr>
          <w:rFonts w:ascii="Calibri" w:hAnsi="Calibri" w:cs="Calibri"/>
          <w:sz w:val="16"/>
          <w:szCs w:val="16"/>
          <w:lang w:val="en-US"/>
        </w:rPr>
        <w:t>.</w:t>
      </w:r>
    </w:p>
    <w:p w14:paraId="10402643" w14:textId="627D4634" w:rsidR="0026497A" w:rsidRPr="00F770E6" w:rsidRDefault="0026497A" w:rsidP="00F770E6">
      <w:pPr>
        <w:rPr>
          <w:sz w:val="16"/>
          <w:szCs w:val="16"/>
        </w:rPr>
      </w:pPr>
      <w:r w:rsidRPr="0099757B">
        <w:rPr>
          <w:rFonts w:ascii="Calibri" w:hAnsi="Calibri" w:cs="Calibri"/>
          <w:sz w:val="16"/>
          <w:szCs w:val="16"/>
          <w:lang w:val="en-US"/>
        </w:rPr>
        <w:t>Hægt</w:t>
      </w:r>
      <w:r w:rsidRPr="0026497A">
        <w:rPr>
          <w:rFonts w:ascii="Calibri" w:hAnsi="Calibri" w:cs="Calibri"/>
          <w:sz w:val="16"/>
          <w:szCs w:val="16"/>
          <w:lang w:val="en-US"/>
        </w:rPr>
        <w:t xml:space="preserve"> er að óska eftir að fá lykilupplýsingarnar á pappír án endurgjalds með því að hafa samband við lífeyrisþjónustu Arion banka í síma 444 7000. Með undirritun minni staðfesti ég </w:t>
      </w:r>
      <w:r w:rsidRPr="00F770E6">
        <w:rPr>
          <w:rFonts w:ascii="Calibri" w:hAnsi="Calibri" w:cs="Calibri"/>
          <w:sz w:val="16"/>
          <w:szCs w:val="16"/>
          <w:lang w:val="en-US"/>
        </w:rPr>
        <w:t>að hafa kynnt mér lykilupplýsingar fjárfestingarleiða sjóðsins.</w:t>
      </w:r>
    </w:p>
    <w:p w14:paraId="49D4AF03" w14:textId="77777777" w:rsidR="0026497A" w:rsidRPr="0026497A" w:rsidRDefault="0026497A" w:rsidP="0099757B">
      <w:pPr>
        <w:autoSpaceDE w:val="0"/>
        <w:autoSpaceDN w:val="0"/>
        <w:adjustRightInd w:val="0"/>
        <w:jc w:val="both"/>
        <w:rPr>
          <w:rStyle w:val="SubtleEmphasis"/>
          <w:sz w:val="16"/>
          <w:szCs w:val="16"/>
        </w:rPr>
      </w:pPr>
      <w:r w:rsidRPr="0026497A">
        <w:rPr>
          <w:rStyle w:val="SubtleEmphasis"/>
          <w:sz w:val="16"/>
          <w:szCs w:val="16"/>
        </w:rPr>
        <w:t>Undirrituð/undirritaður, veitir hér með Arion banka umboð til að nálgast grunnupplýsingar um viðbótarsparnað sinn hjá öðrum vörsluaðilum og ganga frá uppsögn á núverandi viðbótarsparnaði sínum ef við á. Undirritaður/undirrituð staðfestir að hafa kynnt sér fjárfestingarstefnu Lífeyrisauka og reglur um verðtryggingu sparifjár og lánsfjár, en þær segja m.a. til um binditíma verðtryggðra innlána. Arion banki sendir ofangreindum launagreiðanda afrit af samningi um viðbótarsparnað við undirskrift samnings. Berist Arion banka upplýsingar frá rétthafa um nýjan launagreiðanda, sendir Arion banki nýjum launagreiðanda afrit af samningi þessum. Launagreiðanda er skylt að halda eftir af launum iðgjaldi launþega og standa skil á því ásamt mótframlagi sínu, samkvæmt 7. gr. laga nr. 129/1997 með síðari breytingum.</w:t>
      </w:r>
    </w:p>
    <w:p w14:paraId="10FAC055" w14:textId="3BCE6E9F" w:rsidR="00AA342C" w:rsidRPr="0026497A" w:rsidRDefault="0026497A" w:rsidP="0099757B">
      <w:pPr>
        <w:autoSpaceDE w:val="0"/>
        <w:autoSpaceDN w:val="0"/>
        <w:adjustRightInd w:val="0"/>
        <w:jc w:val="both"/>
        <w:rPr>
          <w:rStyle w:val="SubtleEmphasis"/>
          <w:sz w:val="16"/>
          <w:szCs w:val="16"/>
        </w:rPr>
      </w:pPr>
      <w:r w:rsidRPr="0026497A">
        <w:rPr>
          <w:sz w:val="16"/>
          <w:szCs w:val="16"/>
        </w:rPr>
        <w:t xml:space="preserve">Með undirritun minni staðfesti ég að mér sé kunnugt um að til þess að efna skuldbindingar sínar samkvæmt samningi þessum sé Arion banka nauðsynlegt að safna og vinna með persónuupplýsingar í samræmi við lög og reglur. Nánari upplýsingar um vinnslu persónuupplýsinga hjá Arion banka er að finna hér: </w:t>
      </w:r>
      <w:bookmarkStart w:id="18" w:name="_Hlk216701824"/>
      <w:r>
        <w:fldChar w:fldCharType="begin"/>
      </w:r>
      <w:r>
        <w:instrText>HYPERLINK "https://www.arionbanki.is/bankinn/starfsemi/personuvernd/"</w:instrText>
      </w:r>
      <w:r>
        <w:fldChar w:fldCharType="separate"/>
      </w:r>
      <w:r w:rsidRPr="0026497A">
        <w:rPr>
          <w:rStyle w:val="Hyperlink"/>
          <w:sz w:val="16"/>
          <w:szCs w:val="16"/>
        </w:rPr>
        <w:t>https://www.arionbanki.is/bankinn/starfsemi/personuvernd/</w:t>
      </w:r>
      <w:r>
        <w:fldChar w:fldCharType="end"/>
      </w:r>
      <w:bookmarkEnd w:id="18"/>
    </w:p>
    <w:bookmarkEnd w:id="16"/>
    <w:p w14:paraId="7EB132C0" w14:textId="77777777" w:rsidR="00AA342C" w:rsidRPr="0026497A" w:rsidRDefault="00AA342C" w:rsidP="00602F1D">
      <w:pPr>
        <w:rPr>
          <w:rFonts w:ascii="Calibri" w:hAnsi="Calibri"/>
          <w:sz w:val="12"/>
          <w:szCs w:val="18"/>
        </w:rPr>
      </w:pPr>
    </w:p>
    <w:p w14:paraId="6EF4E097" w14:textId="77777777" w:rsidR="00AA342C" w:rsidRDefault="00AA342C" w:rsidP="00602F1D">
      <w:pPr>
        <w:pStyle w:val="Footer"/>
        <w:jc w:val="both"/>
        <w:rPr>
          <w:rStyle w:val="SubtleEmphasis"/>
          <w:b/>
        </w:rPr>
      </w:pPr>
      <w:r>
        <w:rPr>
          <w:rStyle w:val="SubtleEmphasis"/>
          <w:b/>
        </w:rPr>
        <w:t>Með undirskrift minni staðfesti ég efni samnings þessa og undirgengst að hlíta þeim reglum sem um hann gilda.</w:t>
      </w:r>
    </w:p>
    <w:p w14:paraId="644683BB" w14:textId="77777777" w:rsidR="00390490" w:rsidRPr="0026497A" w:rsidRDefault="00390490" w:rsidP="00602F1D">
      <w:pPr>
        <w:spacing w:line="276" w:lineRule="auto"/>
        <w:rPr>
          <w:rStyle w:val="SubtleEmphasis"/>
          <w:sz w:val="14"/>
          <w:szCs w:val="20"/>
        </w:rPr>
      </w:pPr>
    </w:p>
    <w:tbl>
      <w:tblPr>
        <w:tblW w:w="5000" w:type="pct"/>
        <w:tblLook w:val="0000" w:firstRow="0" w:lastRow="0" w:firstColumn="0" w:lastColumn="0" w:noHBand="0" w:noVBand="0"/>
      </w:tblPr>
      <w:tblGrid>
        <w:gridCol w:w="4576"/>
        <w:gridCol w:w="243"/>
        <w:gridCol w:w="5039"/>
        <w:gridCol w:w="6"/>
      </w:tblGrid>
      <w:tr w:rsidR="00BD1365" w:rsidRPr="00473673" w14:paraId="03FE5FC7" w14:textId="77777777" w:rsidTr="00627912">
        <w:trPr>
          <w:gridAfter w:val="1"/>
          <w:wAfter w:w="3" w:type="pct"/>
        </w:trPr>
        <w:tc>
          <w:tcPr>
            <w:tcW w:w="2320" w:type="pct"/>
            <w:tcBorders>
              <w:bottom w:val="single" w:sz="2" w:space="0" w:color="auto"/>
            </w:tcBorders>
          </w:tcPr>
          <w:p w14:paraId="7D546514" w14:textId="77777777" w:rsidR="00BD1365" w:rsidRPr="00473673" w:rsidRDefault="00BD1365" w:rsidP="00602F1D">
            <w:pPr>
              <w:rPr>
                <w:rFonts w:cs="Arial"/>
                <w:sz w:val="20"/>
              </w:rPr>
            </w:pPr>
            <w:r w:rsidRPr="00473673">
              <w:rPr>
                <w:sz w:val="20"/>
              </w:rPr>
              <w:fldChar w:fldCharType="begin">
                <w:ffData>
                  <w:name w:val="StadurDags"/>
                  <w:enabled/>
                  <w:calcOnExit w:val="0"/>
                  <w:textInput>
                    <w:maxLength w:val="55"/>
                  </w:textInput>
                </w:ffData>
              </w:fldChar>
            </w:r>
            <w:r w:rsidRPr="00473673">
              <w:rPr>
                <w:sz w:val="20"/>
              </w:rPr>
              <w:instrText xml:space="preserve"> FORMTEXT </w:instrText>
            </w:r>
            <w:r w:rsidRPr="00473673">
              <w:rPr>
                <w:sz w:val="20"/>
              </w:rPr>
            </w:r>
            <w:r w:rsidRPr="00473673">
              <w:rPr>
                <w:sz w:val="20"/>
              </w:rPr>
              <w:fldChar w:fldCharType="separate"/>
            </w:r>
            <w:r w:rsidRPr="00473673">
              <w:rPr>
                <w:sz w:val="20"/>
              </w:rPr>
              <w:t> </w:t>
            </w:r>
            <w:r w:rsidRPr="00473673">
              <w:rPr>
                <w:sz w:val="20"/>
              </w:rPr>
              <w:t> </w:t>
            </w:r>
            <w:r w:rsidRPr="00473673">
              <w:rPr>
                <w:sz w:val="20"/>
              </w:rPr>
              <w:t> </w:t>
            </w:r>
            <w:r w:rsidRPr="00473673">
              <w:rPr>
                <w:sz w:val="20"/>
              </w:rPr>
              <w:t> </w:t>
            </w:r>
            <w:r w:rsidRPr="00473673">
              <w:rPr>
                <w:sz w:val="20"/>
              </w:rPr>
              <w:t> </w:t>
            </w:r>
            <w:r w:rsidRPr="00473673">
              <w:rPr>
                <w:sz w:val="20"/>
              </w:rPr>
              <w:fldChar w:fldCharType="end"/>
            </w:r>
          </w:p>
        </w:tc>
        <w:tc>
          <w:tcPr>
            <w:tcW w:w="123" w:type="pct"/>
            <w:vMerge w:val="restart"/>
          </w:tcPr>
          <w:p w14:paraId="29B6AD2C" w14:textId="77777777" w:rsidR="00BD1365" w:rsidRPr="00473673" w:rsidRDefault="00BD1365" w:rsidP="00602F1D">
            <w:pPr>
              <w:rPr>
                <w:rFonts w:cs="Arial"/>
                <w:sz w:val="20"/>
              </w:rPr>
            </w:pPr>
          </w:p>
        </w:tc>
        <w:tc>
          <w:tcPr>
            <w:tcW w:w="2554" w:type="pct"/>
            <w:tcBorders>
              <w:bottom w:val="single" w:sz="2" w:space="0" w:color="auto"/>
            </w:tcBorders>
          </w:tcPr>
          <w:p w14:paraId="601E4307" w14:textId="77777777" w:rsidR="00BD1365" w:rsidRPr="00473673" w:rsidRDefault="00BD1365" w:rsidP="00602F1D">
            <w:pPr>
              <w:rPr>
                <w:rFonts w:cs="Arial"/>
                <w:sz w:val="20"/>
              </w:rPr>
            </w:pPr>
          </w:p>
        </w:tc>
      </w:tr>
      <w:tr w:rsidR="00BD1365" w:rsidRPr="00473673" w14:paraId="1D390014" w14:textId="77777777" w:rsidTr="00627912">
        <w:trPr>
          <w:gridAfter w:val="1"/>
          <w:wAfter w:w="3" w:type="pct"/>
        </w:trPr>
        <w:tc>
          <w:tcPr>
            <w:tcW w:w="2320" w:type="pct"/>
            <w:tcBorders>
              <w:top w:val="single" w:sz="2" w:space="0" w:color="auto"/>
            </w:tcBorders>
          </w:tcPr>
          <w:p w14:paraId="50AD0EEA" w14:textId="77777777" w:rsidR="00BD1365" w:rsidRPr="00473673" w:rsidRDefault="00BD1365" w:rsidP="00602F1D">
            <w:pPr>
              <w:rPr>
                <w:rFonts w:cs="Arial"/>
                <w:sz w:val="14"/>
                <w:szCs w:val="14"/>
              </w:rPr>
            </w:pPr>
            <w:r w:rsidRPr="00473673">
              <w:rPr>
                <w:rFonts w:cs="Arial"/>
                <w:sz w:val="14"/>
                <w:szCs w:val="14"/>
              </w:rPr>
              <w:t xml:space="preserve">Staður og dagsetning </w:t>
            </w:r>
          </w:p>
        </w:tc>
        <w:tc>
          <w:tcPr>
            <w:tcW w:w="123" w:type="pct"/>
            <w:vMerge/>
          </w:tcPr>
          <w:p w14:paraId="1A21F4A3" w14:textId="77777777" w:rsidR="00BD1365" w:rsidRPr="00473673" w:rsidRDefault="00BD1365" w:rsidP="00602F1D">
            <w:pPr>
              <w:rPr>
                <w:rFonts w:cs="Arial"/>
                <w:sz w:val="14"/>
                <w:szCs w:val="14"/>
              </w:rPr>
            </w:pPr>
          </w:p>
        </w:tc>
        <w:tc>
          <w:tcPr>
            <w:tcW w:w="2554" w:type="pct"/>
            <w:tcBorders>
              <w:top w:val="single" w:sz="2" w:space="0" w:color="auto"/>
            </w:tcBorders>
          </w:tcPr>
          <w:p w14:paraId="23B2CB96" w14:textId="77777777" w:rsidR="00BD1365" w:rsidRPr="00473673" w:rsidRDefault="00BD1365" w:rsidP="00602F1D">
            <w:pPr>
              <w:rPr>
                <w:rFonts w:cs="Arial"/>
                <w:sz w:val="14"/>
                <w:szCs w:val="14"/>
              </w:rPr>
            </w:pPr>
            <w:r w:rsidRPr="00473673">
              <w:rPr>
                <w:rFonts w:cs="Arial"/>
                <w:sz w:val="14"/>
                <w:szCs w:val="14"/>
              </w:rPr>
              <w:t>Undirskrift rétthafa</w:t>
            </w:r>
          </w:p>
        </w:tc>
      </w:tr>
      <w:tr w:rsidR="00BD1365" w:rsidRPr="00473673" w14:paraId="585C1442" w14:textId="77777777" w:rsidTr="00627912">
        <w:trPr>
          <w:trHeight w:val="283"/>
        </w:trPr>
        <w:tc>
          <w:tcPr>
            <w:tcW w:w="2320" w:type="pct"/>
          </w:tcPr>
          <w:p w14:paraId="2EC4B6CA" w14:textId="77777777" w:rsidR="00BD1365" w:rsidRPr="00473673" w:rsidRDefault="00BD1365" w:rsidP="00602F1D">
            <w:pPr>
              <w:pStyle w:val="Header"/>
              <w:tabs>
                <w:tab w:val="left" w:pos="6120"/>
              </w:tabs>
              <w:rPr>
                <w:sz w:val="20"/>
              </w:rPr>
            </w:pPr>
          </w:p>
        </w:tc>
        <w:tc>
          <w:tcPr>
            <w:tcW w:w="123" w:type="pct"/>
            <w:vMerge w:val="restart"/>
          </w:tcPr>
          <w:p w14:paraId="4BA52DB6" w14:textId="77777777" w:rsidR="00BD1365" w:rsidRPr="00473673" w:rsidRDefault="00BD1365" w:rsidP="00602F1D">
            <w:pPr>
              <w:pStyle w:val="Header"/>
              <w:tabs>
                <w:tab w:val="left" w:pos="6120"/>
              </w:tabs>
              <w:rPr>
                <w:sz w:val="20"/>
              </w:rPr>
            </w:pPr>
          </w:p>
        </w:tc>
        <w:tc>
          <w:tcPr>
            <w:tcW w:w="2557" w:type="pct"/>
            <w:gridSpan w:val="2"/>
            <w:tcBorders>
              <w:bottom w:val="single" w:sz="2" w:space="0" w:color="auto"/>
            </w:tcBorders>
          </w:tcPr>
          <w:p w14:paraId="1AD78027" w14:textId="77777777" w:rsidR="00BD1365" w:rsidRPr="00473673" w:rsidRDefault="00BD1365" w:rsidP="00602F1D">
            <w:pPr>
              <w:rPr>
                <w:rFonts w:cs="Arial"/>
                <w:sz w:val="20"/>
              </w:rPr>
            </w:pPr>
          </w:p>
        </w:tc>
      </w:tr>
      <w:tr w:rsidR="00BD1365" w:rsidRPr="00473673" w14:paraId="0589F2D8" w14:textId="77777777" w:rsidTr="00627912">
        <w:tc>
          <w:tcPr>
            <w:tcW w:w="2320" w:type="pct"/>
          </w:tcPr>
          <w:p w14:paraId="5F821BBD" w14:textId="77777777" w:rsidR="00BD1365" w:rsidRPr="00473673" w:rsidRDefault="00BD1365" w:rsidP="00602F1D">
            <w:pPr>
              <w:rPr>
                <w:rFonts w:cs="Arial"/>
                <w:sz w:val="14"/>
                <w:szCs w:val="14"/>
              </w:rPr>
            </w:pPr>
          </w:p>
        </w:tc>
        <w:tc>
          <w:tcPr>
            <w:tcW w:w="123" w:type="pct"/>
            <w:vMerge/>
          </w:tcPr>
          <w:p w14:paraId="1D6F13DA" w14:textId="77777777" w:rsidR="00BD1365" w:rsidRPr="00473673" w:rsidRDefault="00BD1365" w:rsidP="00602F1D">
            <w:pPr>
              <w:rPr>
                <w:rFonts w:cs="Arial"/>
                <w:sz w:val="14"/>
                <w:szCs w:val="14"/>
              </w:rPr>
            </w:pPr>
          </w:p>
        </w:tc>
        <w:tc>
          <w:tcPr>
            <w:tcW w:w="2557" w:type="pct"/>
            <w:gridSpan w:val="2"/>
            <w:tcBorders>
              <w:top w:val="single" w:sz="2" w:space="0" w:color="auto"/>
            </w:tcBorders>
          </w:tcPr>
          <w:p w14:paraId="49596524" w14:textId="77777777" w:rsidR="00BD1365" w:rsidRPr="00473673" w:rsidRDefault="00BD1365" w:rsidP="00602F1D">
            <w:pPr>
              <w:rPr>
                <w:rFonts w:cs="Arial"/>
                <w:sz w:val="14"/>
                <w:szCs w:val="14"/>
              </w:rPr>
            </w:pPr>
            <w:r w:rsidRPr="00473673">
              <w:rPr>
                <w:rFonts w:cs="Arial"/>
                <w:sz w:val="14"/>
                <w:szCs w:val="14"/>
              </w:rPr>
              <w:t>Undirskrift forráðamanns ef rétthafi er undir 18 ára aldri</w:t>
            </w:r>
          </w:p>
        </w:tc>
      </w:tr>
    </w:tbl>
    <w:p w14:paraId="00388430" w14:textId="77777777" w:rsidR="00390490" w:rsidRPr="0026497A" w:rsidRDefault="00390490" w:rsidP="00602F1D">
      <w:pPr>
        <w:rPr>
          <w:rStyle w:val="SubtleEmphasis"/>
          <w:sz w:val="12"/>
          <w:szCs w:val="18"/>
        </w:rPr>
      </w:pPr>
    </w:p>
    <w:p w14:paraId="4D8E70FF" w14:textId="77777777" w:rsidR="00BD1365" w:rsidRPr="008352BE" w:rsidRDefault="00BD1365" w:rsidP="00602F1D">
      <w:pPr>
        <w:jc w:val="both"/>
        <w:rPr>
          <w:rStyle w:val="SubtleEmphasis"/>
          <w:sz w:val="17"/>
          <w:szCs w:val="17"/>
        </w:rPr>
      </w:pPr>
      <w:r w:rsidRPr="008352BE">
        <w:rPr>
          <w:rStyle w:val="SubtleEmphasis"/>
          <w:sz w:val="17"/>
          <w:szCs w:val="17"/>
        </w:rPr>
        <w:t>Kjósi viðskiptavinur/ir að undirrita skjal þetta með rafrænum hætti í stað eiginhandarundirritunar, verða allir undirritendur að undirrita skjalið með rafrænum hætti. Í þeim tilvikum er skjal þetta undirritað öllu framangreindu til staðfestingar með fullgildri rafrænni undirritun. Rafræn undirritun skjalsins er í samræmi við lög nr. 55/2019 um rafræna auðkenningu og traustþjónustu fyrir rafræn viðskipti. Skjal þetta er vistað og viðskiptavini aðgengilegt í Rafrænum skjölum í Netbanka Arion banka og/eða á netfangi viðskiptavinar.</w:t>
      </w:r>
    </w:p>
    <w:p w14:paraId="176A789D" w14:textId="1B9BAF83" w:rsidR="00AA342C" w:rsidRPr="0026497A" w:rsidRDefault="00AA342C" w:rsidP="00602F1D">
      <w:pPr>
        <w:spacing w:after="200" w:line="276" w:lineRule="auto"/>
        <w:rPr>
          <w:rStyle w:val="SubtleEmphasis"/>
          <w:sz w:val="14"/>
          <w:szCs w:val="20"/>
        </w:rPr>
      </w:pPr>
      <w:r>
        <w:rPr>
          <w:rStyle w:val="SubtleEmphasis"/>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A342C" w:rsidRPr="00E96EAC" w14:paraId="600B7EDB" w14:textId="77777777" w:rsidTr="00136A77">
        <w:tc>
          <w:tcPr>
            <w:tcW w:w="3835" w:type="pct"/>
          </w:tcPr>
          <w:p w14:paraId="45EC917D" w14:textId="77777777" w:rsidR="00AA342C" w:rsidRPr="00E96EAC" w:rsidRDefault="00AA342C" w:rsidP="00602F1D">
            <w:pPr>
              <w:rPr>
                <w:rFonts w:ascii="Arial" w:eastAsia="Malgun Gothic" w:hAnsi="Arial" w:cs="Times New Roman"/>
                <w:b/>
                <w:color w:val="19488C"/>
                <w:spacing w:val="20"/>
                <w:kern w:val="28"/>
                <w:szCs w:val="52"/>
              </w:rPr>
            </w:pPr>
            <w:r w:rsidRPr="00531E5F">
              <w:rPr>
                <w:rFonts w:ascii="Arial" w:eastAsia="Malgun Gothic" w:hAnsi="Arial" w:cs="Times New Roman"/>
                <w:b/>
                <w:color w:val="19488C"/>
                <w:spacing w:val="20"/>
                <w:kern w:val="28"/>
                <w:sz w:val="28"/>
                <w:szCs w:val="52"/>
              </w:rPr>
              <w:lastRenderedPageBreak/>
              <w:t>Viðbótarsparnaður Arion - Lífeyrisauki</w:t>
            </w:r>
          </w:p>
        </w:tc>
        <w:tc>
          <w:tcPr>
            <w:tcW w:w="1165" w:type="pct"/>
          </w:tcPr>
          <w:p w14:paraId="1F963211" w14:textId="77777777" w:rsidR="00AA342C" w:rsidRPr="00E96EAC" w:rsidRDefault="00AA342C" w:rsidP="00602F1D">
            <w:pPr>
              <w:tabs>
                <w:tab w:val="left" w:pos="646"/>
              </w:tabs>
              <w:jc w:val="right"/>
              <w:rPr>
                <w:rFonts w:ascii="Calibri" w:eastAsia="Calibri" w:hAnsi="Calibri" w:cs="Arial"/>
                <w:sz w:val="20"/>
                <w:szCs w:val="20"/>
              </w:rPr>
            </w:pPr>
            <w:r w:rsidRPr="00E96EAC">
              <w:rPr>
                <w:rFonts w:ascii="Calibri" w:eastAsia="Calibri" w:hAnsi="Calibri" w:cs="Arial"/>
                <w:noProof/>
                <w:sz w:val="20"/>
                <w:szCs w:val="20"/>
                <w:lang w:val="en-US"/>
              </w:rPr>
              <w:drawing>
                <wp:anchor distT="0" distB="0" distL="114300" distR="114300" simplePos="0" relativeHeight="251658241" behindDoc="1" locked="0" layoutInCell="1" allowOverlap="1" wp14:anchorId="2555D677" wp14:editId="69115F21">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A342C" w:rsidRPr="00E96EAC" w14:paraId="2EF26D3F" w14:textId="77777777" w:rsidTr="00136A77">
        <w:trPr>
          <w:trHeight w:val="397"/>
        </w:trPr>
        <w:tc>
          <w:tcPr>
            <w:tcW w:w="3835" w:type="pct"/>
            <w:vAlign w:val="center"/>
          </w:tcPr>
          <w:p w14:paraId="340E78BE" w14:textId="77777777" w:rsidR="00AA342C" w:rsidRPr="00E96EAC" w:rsidRDefault="00AA342C" w:rsidP="00602F1D">
            <w:pPr>
              <w:rPr>
                <w:rFonts w:ascii="Arial" w:eastAsia="Malgun Gothic" w:hAnsi="Arial" w:cs="Times New Roman"/>
                <w:iCs/>
                <w:color w:val="19488C"/>
                <w:spacing w:val="15"/>
                <w:sz w:val="22"/>
              </w:rPr>
            </w:pPr>
            <w:r w:rsidRPr="00531E5F">
              <w:rPr>
                <w:rFonts w:ascii="Arial" w:eastAsia="Malgun Gothic" w:hAnsi="Arial" w:cs="Times New Roman"/>
                <w:color w:val="19488C"/>
                <w:spacing w:val="15"/>
              </w:rPr>
              <w:t>Samningur um viðbótarsparnað</w:t>
            </w:r>
          </w:p>
        </w:tc>
        <w:tc>
          <w:tcPr>
            <w:tcW w:w="1165" w:type="pct"/>
            <w:vAlign w:val="bottom"/>
          </w:tcPr>
          <w:p w14:paraId="2A3ADB0E" w14:textId="77777777" w:rsidR="00AA342C" w:rsidRPr="00E96EAC" w:rsidRDefault="00AA342C" w:rsidP="00602F1D">
            <w:pPr>
              <w:jc w:val="right"/>
              <w:rPr>
                <w:rFonts w:ascii="Calibri" w:eastAsia="Calibri" w:hAnsi="Calibri" w:cs="Arial"/>
                <w:noProof/>
                <w:sz w:val="20"/>
                <w:szCs w:val="20"/>
                <w:lang w:eastAsia="is-IS"/>
              </w:rPr>
            </w:pPr>
          </w:p>
        </w:tc>
      </w:tr>
    </w:tbl>
    <w:p w14:paraId="3EA8EAB0" w14:textId="77777777" w:rsidR="00CD7876" w:rsidRDefault="00CD7876" w:rsidP="00602F1D">
      <w:pPr>
        <w:rPr>
          <w:rStyle w:val="SubtleEmphasis"/>
        </w:rPr>
      </w:pPr>
    </w:p>
    <w:p w14:paraId="591E273C" w14:textId="77777777" w:rsidR="00AA342C" w:rsidRPr="00193B27" w:rsidRDefault="00AA342C" w:rsidP="00602F1D">
      <w:pPr>
        <w:rPr>
          <w:rFonts w:ascii="Calibri" w:hAnsi="Calibri"/>
          <w:spacing w:val="20"/>
          <w:sz w:val="18"/>
        </w:rPr>
      </w:pPr>
      <w:r w:rsidRPr="00193B27">
        <w:rPr>
          <w:rFonts w:ascii="Calibri" w:hAnsi="Calibri"/>
          <w:spacing w:val="20"/>
          <w:sz w:val="18"/>
        </w:rPr>
        <w:t>REGLUR LÍFEYRISAUKA</w:t>
      </w:r>
    </w:p>
    <w:p w14:paraId="4D4E8A58" w14:textId="77777777" w:rsidR="00AA342C" w:rsidRPr="00AA342C" w:rsidRDefault="00AA342C" w:rsidP="00602F1D">
      <w:pPr>
        <w:rPr>
          <w:rStyle w:val="SubtleEmphasis"/>
          <w:sz w:val="10"/>
          <w:szCs w:val="10"/>
        </w:rPr>
      </w:pPr>
    </w:p>
    <w:tbl>
      <w:tblPr>
        <w:tblW w:w="5000" w:type="pct"/>
        <w:tblLook w:val="01E0" w:firstRow="1" w:lastRow="1" w:firstColumn="1" w:lastColumn="1" w:noHBand="0" w:noVBand="0"/>
      </w:tblPr>
      <w:tblGrid>
        <w:gridCol w:w="4820"/>
        <w:gridCol w:w="5044"/>
      </w:tblGrid>
      <w:tr w:rsidR="00AA342C" w:rsidRPr="00EA405A" w14:paraId="0ECFC07D" w14:textId="77777777" w:rsidTr="00136A77">
        <w:tc>
          <w:tcPr>
            <w:tcW w:w="2443" w:type="pct"/>
          </w:tcPr>
          <w:p w14:paraId="70067885" w14:textId="77777777" w:rsidR="00AA342C" w:rsidRPr="00EA405A" w:rsidRDefault="00AA342C" w:rsidP="00602F1D">
            <w:pPr>
              <w:autoSpaceDE w:val="0"/>
              <w:autoSpaceDN w:val="0"/>
              <w:adjustRightInd w:val="0"/>
              <w:jc w:val="both"/>
              <w:rPr>
                <w:rFonts w:cs="Avenir-Heavy"/>
                <w:b/>
                <w:sz w:val="15"/>
                <w:szCs w:val="15"/>
                <w:lang w:eastAsia="en-GB"/>
              </w:rPr>
            </w:pPr>
            <w:r w:rsidRPr="00EA405A">
              <w:rPr>
                <w:rFonts w:cs="Avenir-Heavy"/>
                <w:b/>
                <w:sz w:val="15"/>
                <w:szCs w:val="15"/>
                <w:lang w:eastAsia="en-GB"/>
              </w:rPr>
              <w:t>1. gr. Vörslusamningar um lífeyrissparnað</w:t>
            </w:r>
          </w:p>
          <w:p w14:paraId="434A7117" w14:textId="77777777" w:rsidR="00AA342C" w:rsidRPr="00EA405A" w:rsidRDefault="00AA342C" w:rsidP="00602F1D">
            <w:pPr>
              <w:autoSpaceDE w:val="0"/>
              <w:autoSpaceDN w:val="0"/>
              <w:adjustRightInd w:val="0"/>
              <w:jc w:val="both"/>
              <w:rPr>
                <w:rFonts w:cs="Avenir-Light"/>
                <w:sz w:val="15"/>
                <w:szCs w:val="15"/>
                <w:lang w:eastAsia="en-GB"/>
              </w:rPr>
            </w:pPr>
            <w:r w:rsidRPr="00EA405A">
              <w:rPr>
                <w:rFonts w:cs="Avenir-Light"/>
                <w:sz w:val="15"/>
                <w:szCs w:val="15"/>
                <w:lang w:eastAsia="en-GB"/>
              </w:rPr>
              <w:t>Reglur þessar taka til samninga um lífeyrissparnað sem stofnað er til á grundvelli II. kafla laga nr. 129/1997, um skyldutryggingu lífeyrisréttinda og starfsemi lífeyrissjóða. Allir þeir sem uppfylla ákvæði fyrrgreindra laga um greiðslu iðgjalds til lágmarks</w:t>
            </w:r>
            <w:r w:rsidRPr="00EA405A">
              <w:rPr>
                <w:rFonts w:cs="Avenir-Light"/>
                <w:sz w:val="15"/>
                <w:szCs w:val="15"/>
                <w:lang w:eastAsia="en-GB"/>
              </w:rPr>
              <w:softHyphen/>
              <w:t>tryggingarverndar hjá lífeyrissjóði geta fengið aðild að Lífeyrisauka. Með undirritun rétthafa á samningi Lífeyrisauka sam</w:t>
            </w:r>
            <w:r w:rsidRPr="00EA405A">
              <w:rPr>
                <w:rFonts w:cs="Avenir-Light"/>
                <w:sz w:val="15"/>
                <w:szCs w:val="15"/>
                <w:lang w:eastAsia="en-GB"/>
              </w:rPr>
              <w:softHyphen/>
              <w:t>þykkir hann að hlíta reglum þessum.</w:t>
            </w:r>
          </w:p>
          <w:p w14:paraId="19E1530E" w14:textId="77777777" w:rsidR="00AA342C" w:rsidRPr="00EA405A" w:rsidRDefault="00AA342C" w:rsidP="00602F1D">
            <w:pPr>
              <w:tabs>
                <w:tab w:val="left" w:pos="4180"/>
              </w:tabs>
              <w:autoSpaceDE w:val="0"/>
              <w:autoSpaceDN w:val="0"/>
              <w:adjustRightInd w:val="0"/>
              <w:jc w:val="both"/>
              <w:rPr>
                <w:rFonts w:cs="Avenir-Heavy"/>
                <w:b/>
                <w:sz w:val="15"/>
                <w:szCs w:val="15"/>
                <w:lang w:eastAsia="en-GB"/>
              </w:rPr>
            </w:pPr>
            <w:r w:rsidRPr="00EA405A">
              <w:rPr>
                <w:rFonts w:cs="Avenir-Heavy"/>
                <w:b/>
                <w:sz w:val="15"/>
                <w:szCs w:val="15"/>
                <w:lang w:eastAsia="en-GB"/>
              </w:rPr>
              <w:t>2. gr. Skil á samningi til launagreiðanda</w:t>
            </w:r>
            <w:r w:rsidRPr="00EA405A">
              <w:rPr>
                <w:rFonts w:cs="Avenir-Heavy"/>
                <w:b/>
                <w:sz w:val="15"/>
                <w:szCs w:val="15"/>
                <w:lang w:eastAsia="en-GB"/>
              </w:rPr>
              <w:tab/>
            </w:r>
          </w:p>
          <w:p w14:paraId="743BEF70" w14:textId="77777777" w:rsidR="00AA342C" w:rsidRPr="00EA405A" w:rsidRDefault="00AA342C" w:rsidP="00602F1D">
            <w:pPr>
              <w:autoSpaceDE w:val="0"/>
              <w:autoSpaceDN w:val="0"/>
              <w:adjustRightInd w:val="0"/>
              <w:jc w:val="both"/>
              <w:rPr>
                <w:rFonts w:cs="Avenir-Light"/>
                <w:sz w:val="15"/>
                <w:szCs w:val="15"/>
                <w:lang w:eastAsia="en-GB"/>
              </w:rPr>
            </w:pPr>
            <w:r w:rsidRPr="00EA405A">
              <w:rPr>
                <w:rFonts w:cs="Avenir-Light"/>
                <w:sz w:val="15"/>
                <w:szCs w:val="15"/>
                <w:lang w:eastAsia="en-GB"/>
              </w:rPr>
              <w:t>Þegar samningur hefur komist á um lífeyrissparnað skal Arion banki hf. senda launa</w:t>
            </w:r>
            <w:r w:rsidRPr="00EA405A">
              <w:rPr>
                <w:rFonts w:cs="Avenir-Light"/>
                <w:sz w:val="15"/>
                <w:szCs w:val="15"/>
                <w:lang w:eastAsia="en-GB"/>
              </w:rPr>
              <w:softHyphen/>
              <w:t xml:space="preserve">greiðanda afrit af samningnum. </w:t>
            </w:r>
          </w:p>
          <w:p w14:paraId="3A5D9419" w14:textId="77777777" w:rsidR="00AA342C" w:rsidRPr="00EA405A" w:rsidRDefault="00AA342C" w:rsidP="00602F1D">
            <w:pPr>
              <w:autoSpaceDE w:val="0"/>
              <w:autoSpaceDN w:val="0"/>
              <w:adjustRightInd w:val="0"/>
              <w:jc w:val="both"/>
              <w:rPr>
                <w:rFonts w:cs="Avenir-Heavy"/>
                <w:b/>
                <w:sz w:val="15"/>
                <w:szCs w:val="15"/>
                <w:lang w:eastAsia="en-GB"/>
              </w:rPr>
            </w:pPr>
            <w:r w:rsidRPr="00EA405A">
              <w:rPr>
                <w:rFonts w:cs="Avenir-Heavy"/>
                <w:b/>
                <w:sz w:val="15"/>
                <w:szCs w:val="15"/>
                <w:lang w:eastAsia="en-GB"/>
              </w:rPr>
              <w:t>3. gr. Iðgjaldagreiðslur</w:t>
            </w:r>
          </w:p>
          <w:p w14:paraId="33075907" w14:textId="77777777" w:rsidR="00AA342C" w:rsidRPr="00EA405A" w:rsidRDefault="00AA342C" w:rsidP="00602F1D">
            <w:pPr>
              <w:autoSpaceDE w:val="0"/>
              <w:autoSpaceDN w:val="0"/>
              <w:adjustRightInd w:val="0"/>
              <w:jc w:val="both"/>
              <w:rPr>
                <w:rFonts w:cs="Avenir-Light"/>
                <w:sz w:val="15"/>
                <w:szCs w:val="15"/>
                <w:lang w:eastAsia="en-GB"/>
              </w:rPr>
            </w:pPr>
            <w:r w:rsidRPr="00EA405A">
              <w:rPr>
                <w:rFonts w:cs="Avenir-Light"/>
                <w:sz w:val="15"/>
                <w:szCs w:val="15"/>
                <w:lang w:eastAsia="en-GB"/>
              </w:rPr>
              <w:t xml:space="preserve">Iðgjöld skulu greiðast mánaðarlega. Gjalddagi iðgjaldagreiðslutímabils er tíundi næsta mánaðar. Eindagi skal vera síðasti dagur sama mánaðar og iðgjald fellur í gjalddaga. Í samningi um Lífeyrisauka skal fjárhæðin tilgreind í krónum eða sem hlutfall af launum. Iðgjaldagreiðslur skulu hefjast eigi síðar en 2 mánuðum eftir undirritun samnings um Lífeyrisauka. Iðgjöld greiðast með þeim hætti sem samningur um Lífeyrisauka kveður á um, nema gerður sé sérstakur samningur um annað fyrirkomulag síðar. </w:t>
            </w:r>
          </w:p>
          <w:p w14:paraId="3BEF2222" w14:textId="77777777" w:rsidR="00AA342C" w:rsidRPr="00EA405A" w:rsidRDefault="00AA342C" w:rsidP="00602F1D">
            <w:pPr>
              <w:autoSpaceDE w:val="0"/>
              <w:autoSpaceDN w:val="0"/>
              <w:adjustRightInd w:val="0"/>
              <w:jc w:val="both"/>
              <w:rPr>
                <w:rFonts w:cs="Avenir-Light"/>
                <w:sz w:val="15"/>
                <w:szCs w:val="15"/>
                <w:lang w:eastAsia="en-GB"/>
              </w:rPr>
            </w:pPr>
            <w:r w:rsidRPr="00EA405A">
              <w:rPr>
                <w:rFonts w:cs="Avenir-Light"/>
                <w:sz w:val="15"/>
                <w:szCs w:val="15"/>
                <w:lang w:eastAsia="en-GB"/>
              </w:rPr>
              <w:t>Arion banka hf. ber að ávaxta greitt iðgjald samkvæmt samningi um Lífeyrisauka frá þeim degi er bankanum berst iðgjald vegna rétthafa. Berist skilagrein frá launagreiðanda síðar en iðgjöld er Arion banka hf. skylt að reikna vexti frá skráningardegi skilagreinar í samræmi við þá fjárfestingarleið sem í gildi er samkvæmt samningi um Lífeyrisauka, enda geti bankinn ekki áður sérgreint fé rétthafa sem launagreiðandi greiðir iðgjald fyrir. Iðgjald skal bera sömu vexti og Fjárhæðarþrep  Arion banka hf. hverju sinni frá þeim tíma sem það berst vörsluaðila þar til skilagrein er skráð.</w:t>
            </w:r>
          </w:p>
          <w:p w14:paraId="5FFD3BDB" w14:textId="77777777" w:rsidR="00AA342C" w:rsidRPr="00EA405A" w:rsidRDefault="00AA342C" w:rsidP="00602F1D">
            <w:pPr>
              <w:autoSpaceDE w:val="0"/>
              <w:autoSpaceDN w:val="0"/>
              <w:adjustRightInd w:val="0"/>
              <w:jc w:val="both"/>
              <w:rPr>
                <w:rFonts w:cs="Avenir-Heavy"/>
                <w:b/>
                <w:sz w:val="15"/>
                <w:szCs w:val="15"/>
                <w:lang w:eastAsia="en-GB"/>
              </w:rPr>
            </w:pPr>
            <w:r w:rsidRPr="00EA405A">
              <w:rPr>
                <w:rFonts w:cs="Avenir-Heavy"/>
                <w:b/>
                <w:sz w:val="15"/>
                <w:szCs w:val="15"/>
                <w:lang w:eastAsia="en-GB"/>
              </w:rPr>
              <w:t>4. gr. Ráðstöfun iðgjalds</w:t>
            </w:r>
          </w:p>
          <w:p w14:paraId="10EE21AB" w14:textId="77777777" w:rsidR="00AA342C" w:rsidRPr="00EA405A" w:rsidRDefault="00AA342C" w:rsidP="00602F1D">
            <w:pPr>
              <w:autoSpaceDE w:val="0"/>
              <w:autoSpaceDN w:val="0"/>
              <w:adjustRightInd w:val="0"/>
              <w:jc w:val="both"/>
              <w:rPr>
                <w:rFonts w:cs="Avenir-Light"/>
                <w:sz w:val="15"/>
                <w:szCs w:val="15"/>
                <w:lang w:eastAsia="en-GB"/>
              </w:rPr>
            </w:pPr>
            <w:r w:rsidRPr="00EA405A">
              <w:rPr>
                <w:rFonts w:cs="Avenir-Light"/>
                <w:sz w:val="15"/>
                <w:szCs w:val="15"/>
                <w:lang w:eastAsia="en-GB"/>
              </w:rPr>
              <w:t>Í samningi um Lífeyrisauka ákveður rétthafi hvernig iðgjaldi hans skuli ráðstafað til ávöxtunar í fjárfestingarleið með fyrirfram ákveðinni fjárfestingarstefnu. Heimilt er að ráðstafa hluta iðgjalds til kaupa á heilsutryggingum. Um greiðslu vátryggingabóta fer skv. 7. gr. reglna þessara. Þar til bætur eru greiddar út skulu þær ávaxtaðar í samræmi við fjárfestingarleið er rétthafi hefur valið. Rétthafi getur ávallt breytt ákvörðun sinni vegna framtíðariðgjalda með skriflegri tilkynningu til Arion banka hf.</w:t>
            </w:r>
          </w:p>
          <w:p w14:paraId="1A8E602F" w14:textId="77777777" w:rsidR="00AA342C" w:rsidRPr="00EA405A" w:rsidRDefault="00AA342C" w:rsidP="00602F1D">
            <w:pPr>
              <w:autoSpaceDE w:val="0"/>
              <w:autoSpaceDN w:val="0"/>
              <w:adjustRightInd w:val="0"/>
              <w:jc w:val="both"/>
              <w:rPr>
                <w:rFonts w:cs="Avenir-Heavy"/>
                <w:b/>
                <w:sz w:val="15"/>
                <w:szCs w:val="15"/>
                <w:lang w:eastAsia="en-GB"/>
              </w:rPr>
            </w:pPr>
            <w:r w:rsidRPr="00EA405A">
              <w:rPr>
                <w:rFonts w:cs="Avenir-Heavy"/>
                <w:b/>
                <w:sz w:val="15"/>
                <w:szCs w:val="15"/>
                <w:lang w:eastAsia="en-GB"/>
              </w:rPr>
              <w:t>5. gr. Fjárfestingarleiðir</w:t>
            </w:r>
          </w:p>
          <w:p w14:paraId="630CB45A" w14:textId="586A049D" w:rsidR="00AA342C" w:rsidRPr="00EA405A" w:rsidRDefault="00AA342C" w:rsidP="00602F1D">
            <w:pPr>
              <w:autoSpaceDE w:val="0"/>
              <w:autoSpaceDN w:val="0"/>
              <w:adjustRightInd w:val="0"/>
              <w:jc w:val="both"/>
              <w:rPr>
                <w:rFonts w:cs="Avenir-Light"/>
                <w:sz w:val="15"/>
                <w:szCs w:val="15"/>
                <w:lang w:eastAsia="en-GB"/>
              </w:rPr>
            </w:pPr>
            <w:r w:rsidRPr="00EA405A">
              <w:rPr>
                <w:rFonts w:cs="Avenir-Light"/>
                <w:sz w:val="15"/>
                <w:szCs w:val="15"/>
                <w:lang w:eastAsia="en-GB"/>
              </w:rPr>
              <w:t>Rétthafar Lífeyrisauka geta valið á milli mismunandi fjárfestingarleiða til að ávaxta inn</w:t>
            </w:r>
            <w:r w:rsidRPr="00EA405A">
              <w:rPr>
                <w:rFonts w:cs="Avenir-Light"/>
                <w:sz w:val="15"/>
                <w:szCs w:val="15"/>
                <w:lang w:eastAsia="en-GB"/>
              </w:rPr>
              <w:softHyphen/>
              <w:t>stæðu sína. Ávöxtunarmöguleikarnir eru nokkrir sem felst nánar tiltekið í því að í boði er mismunandi hlutfall hlutabréfa í safni á móti öðrum fjármálagerningum, s.s. skulda</w:t>
            </w:r>
            <w:r w:rsidRPr="00EA405A">
              <w:rPr>
                <w:rFonts w:cs="Avenir-Light"/>
                <w:sz w:val="15"/>
                <w:szCs w:val="15"/>
                <w:lang w:eastAsia="en-GB"/>
              </w:rPr>
              <w:softHyphen/>
              <w:t>bréfum og víxlum, sem og innlánum í bönkum og sparisjóðum. Rétthafar geta flutt innstæðu sína á milli fjárfestingarleiða. Kostnaður við flutninginn skal vera skv. gild</w:t>
            </w:r>
            <w:r w:rsidRPr="00EA405A">
              <w:rPr>
                <w:rFonts w:cs="Avenir-Light"/>
                <w:sz w:val="15"/>
                <w:szCs w:val="15"/>
                <w:lang w:eastAsia="en-GB"/>
              </w:rPr>
              <w:softHyphen/>
              <w:t>andi gjaldskrá Arion banka hf. á hverjum tíma en að hámarki 0,5% af inneign rétt</w:t>
            </w:r>
            <w:r w:rsidRPr="00EA405A">
              <w:rPr>
                <w:rFonts w:cs="Avenir-Light"/>
                <w:sz w:val="15"/>
                <w:szCs w:val="15"/>
                <w:lang w:eastAsia="en-GB"/>
              </w:rPr>
              <w:softHyphen/>
              <w:t>hafa. Jafnframt geta rétthafar valið að færast sjálfkrafa milli þessara fjárfestingar</w:t>
            </w:r>
            <w:r w:rsidRPr="00EA405A">
              <w:rPr>
                <w:rFonts w:cs="Avenir-Light"/>
                <w:sz w:val="15"/>
                <w:szCs w:val="15"/>
                <w:lang w:eastAsia="en-GB"/>
              </w:rPr>
              <w:softHyphen/>
              <w:t>leiða skv. Ævilínu án kostnaðar. Flutningur skv. Ævilínu fer þannig fram að inn</w:t>
            </w:r>
            <w:r w:rsidRPr="00EA405A">
              <w:rPr>
                <w:rFonts w:cs="Avenir-Light"/>
                <w:sz w:val="15"/>
                <w:szCs w:val="15"/>
                <w:lang w:eastAsia="en-GB"/>
              </w:rPr>
              <w:softHyphen/>
              <w:t>eign er flutt á milli fjárfestingarleiða í jöfnum áföngum á fimm árum. Iðgjöldum, sem berast eftir að flutningur inneignar á milli fjár</w:t>
            </w:r>
            <w:r w:rsidRPr="00EA405A">
              <w:rPr>
                <w:rFonts w:cs="Avenir-Light"/>
                <w:sz w:val="15"/>
                <w:szCs w:val="15"/>
                <w:lang w:eastAsia="en-GB"/>
              </w:rPr>
              <w:softHyphen/>
              <w:t>festingarleiða er hafinn, er ráðstafað óskipt í þá fjárfestingarleið sem inneign flyst í. Í þeim tilvikum sem fjárfest er í erlendum myntum er stefnan að nota gjaldeyrisvarnir með því markmiði að draga úr áhættu af gengis</w:t>
            </w:r>
            <w:r w:rsidRPr="00EA405A">
              <w:rPr>
                <w:rFonts w:cs="Avenir-Light"/>
                <w:sz w:val="15"/>
                <w:szCs w:val="15"/>
                <w:lang w:eastAsia="en-GB"/>
              </w:rPr>
              <w:softHyphen/>
              <w:t>breytingum erlendra gjaldmiðla. Arion banki hf. annast eignastýringu skv. stefnu sjóðsins, en er heimilt að úthýsa eignastýr</w:t>
            </w:r>
            <w:r w:rsidRPr="00EA405A">
              <w:rPr>
                <w:rFonts w:cs="Avenir-Light"/>
                <w:sz w:val="15"/>
                <w:szCs w:val="15"/>
                <w:lang w:eastAsia="en-GB"/>
              </w:rPr>
              <w:softHyphen/>
              <w:t xml:space="preserve">ingunni til Stefnis hf. </w:t>
            </w:r>
          </w:p>
          <w:p w14:paraId="796FD342" w14:textId="77777777" w:rsidR="00AA342C" w:rsidRPr="00EA405A" w:rsidRDefault="00AA342C" w:rsidP="00602F1D">
            <w:pPr>
              <w:jc w:val="both"/>
              <w:rPr>
                <w:rFonts w:cs="Avenir-Light"/>
                <w:b/>
                <w:sz w:val="15"/>
                <w:szCs w:val="15"/>
                <w:lang w:eastAsia="en-GB"/>
              </w:rPr>
            </w:pPr>
            <w:r w:rsidRPr="00EA405A">
              <w:rPr>
                <w:rFonts w:cs="Avenir-Light"/>
                <w:b/>
                <w:sz w:val="15"/>
                <w:szCs w:val="15"/>
                <w:lang w:eastAsia="en-GB"/>
              </w:rPr>
              <w:t>6. gr. Ráðstöfun iðgjalda við nýjan samning</w:t>
            </w:r>
          </w:p>
          <w:p w14:paraId="520880C3" w14:textId="763FD3E6" w:rsidR="00AA342C" w:rsidRPr="00EA405A" w:rsidRDefault="00AA342C" w:rsidP="00602F1D">
            <w:pPr>
              <w:autoSpaceDE w:val="0"/>
              <w:autoSpaceDN w:val="0"/>
              <w:adjustRightInd w:val="0"/>
              <w:jc w:val="both"/>
              <w:rPr>
                <w:rFonts w:cs="Avenir-Light"/>
                <w:sz w:val="15"/>
                <w:szCs w:val="15"/>
                <w:lang w:eastAsia="en-GB"/>
              </w:rPr>
            </w:pPr>
            <w:r w:rsidRPr="00EA405A">
              <w:rPr>
                <w:rFonts w:cs="Avenir-Light"/>
                <w:sz w:val="15"/>
                <w:szCs w:val="15"/>
                <w:lang w:eastAsia="en-GB"/>
              </w:rPr>
              <w:t>Ef fyrir liggur samningur við rétthafa um sama efni eða ef iðgjöld rétthafa hafa borist án þess að samningur hafi verið gerður þá kemur nýjasti samn</w:t>
            </w:r>
            <w:r w:rsidRPr="00EA405A">
              <w:rPr>
                <w:rFonts w:cs="Avenir-Light"/>
                <w:sz w:val="15"/>
                <w:szCs w:val="15"/>
                <w:lang w:eastAsia="en-GB"/>
              </w:rPr>
              <w:softHyphen/>
              <w:t>ingur rétthafa í stað eldri samnings eða eldra fyrirkomulags. Þ.e. framtíðar</w:t>
            </w:r>
            <w:r w:rsidRPr="00EA405A">
              <w:rPr>
                <w:rFonts w:cs="Avenir-Light"/>
                <w:sz w:val="15"/>
                <w:szCs w:val="15"/>
                <w:lang w:eastAsia="en-GB"/>
              </w:rPr>
              <w:softHyphen/>
              <w:t>iðgjöldum allra launa</w:t>
            </w:r>
            <w:r w:rsidRPr="00EA405A">
              <w:rPr>
                <w:rFonts w:cs="Avenir-Light"/>
                <w:sz w:val="15"/>
                <w:szCs w:val="15"/>
                <w:lang w:eastAsia="en-GB"/>
              </w:rPr>
              <w:softHyphen/>
              <w:t>greiðenda verður ráðstafað samkvæmt nýjasta samningi rétthafa. Velji rétt</w:t>
            </w:r>
            <w:r w:rsidRPr="00EA405A">
              <w:rPr>
                <w:rFonts w:cs="Avenir-Light"/>
                <w:sz w:val="15"/>
                <w:szCs w:val="15"/>
                <w:lang w:eastAsia="en-GB"/>
              </w:rPr>
              <w:softHyphen/>
              <w:t>hafi Ævilínu en á uppsafnaða inneign í annarri fjárfestingarleið, þá mun hún við valið flytjast í þá fjár</w:t>
            </w:r>
            <w:r w:rsidRPr="00EA405A">
              <w:rPr>
                <w:rFonts w:cs="Avenir-Light"/>
                <w:sz w:val="15"/>
                <w:szCs w:val="15"/>
                <w:lang w:eastAsia="en-GB"/>
              </w:rPr>
              <w:softHyphen/>
              <w:t xml:space="preserve">festingarleið sem tilheyrir Ævilínu og fylgja henni. </w:t>
            </w:r>
            <w:r w:rsidRPr="00EA405A">
              <w:rPr>
                <w:rFonts w:cs="Arial"/>
                <w:sz w:val="15"/>
                <w:szCs w:val="15"/>
              </w:rPr>
              <w:t xml:space="preserve">Þó verður inneign í </w:t>
            </w:r>
            <w:r w:rsidR="00DF0B20">
              <w:rPr>
                <w:rFonts w:cs="Arial"/>
                <w:sz w:val="15"/>
                <w:szCs w:val="15"/>
              </w:rPr>
              <w:t xml:space="preserve">leiðum sem ekki tilheyra Ævilínu </w:t>
            </w:r>
            <w:r w:rsidRPr="00EA405A">
              <w:rPr>
                <w:rFonts w:cs="Arial"/>
                <w:sz w:val="15"/>
                <w:szCs w:val="15"/>
              </w:rPr>
              <w:t xml:space="preserve">ekki flutt skv. þessu. </w:t>
            </w:r>
            <w:r w:rsidRPr="00EA405A">
              <w:rPr>
                <w:rFonts w:cs="Avenir-Light"/>
                <w:sz w:val="15"/>
                <w:szCs w:val="15"/>
                <w:lang w:eastAsia="en-GB"/>
              </w:rPr>
              <w:t>Velji rétthafi hins vegar aðra fjárfestingarleið en Ævilínu en á uppsafnaða inneign í Ævilínu, þá mun hún við valið</w:t>
            </w:r>
            <w:r w:rsidRPr="00EA405A">
              <w:rPr>
                <w:rFonts w:cs="Arial"/>
                <w:sz w:val="15"/>
                <w:szCs w:val="15"/>
              </w:rPr>
              <w:t xml:space="preserve"> </w:t>
            </w:r>
            <w:r w:rsidRPr="00EA405A">
              <w:rPr>
                <w:rFonts w:cs="Avenir-Light"/>
                <w:sz w:val="15"/>
                <w:szCs w:val="15"/>
                <w:lang w:eastAsia="en-GB"/>
              </w:rPr>
              <w:t>sitja eftir í þeirri fjárfestingarleið sem til</w:t>
            </w:r>
            <w:r w:rsidRPr="00EA405A">
              <w:rPr>
                <w:rFonts w:cs="Avenir-Light"/>
                <w:sz w:val="15"/>
                <w:szCs w:val="15"/>
                <w:lang w:eastAsia="en-GB"/>
              </w:rPr>
              <w:softHyphen/>
              <w:t>heyrir Ævilínu en mun fram</w:t>
            </w:r>
            <w:r w:rsidRPr="00EA405A">
              <w:rPr>
                <w:rFonts w:cs="Avenir-Light"/>
                <w:sz w:val="15"/>
                <w:szCs w:val="15"/>
                <w:lang w:eastAsia="en-GB"/>
              </w:rPr>
              <w:softHyphen/>
              <w:t>vegis ekki verða flutt samkvæmt reglum um Ævilínu.</w:t>
            </w:r>
          </w:p>
          <w:p w14:paraId="2B40A75C" w14:textId="77777777" w:rsidR="00AA342C" w:rsidRPr="00EA405A" w:rsidRDefault="00AA342C" w:rsidP="00602F1D">
            <w:pPr>
              <w:autoSpaceDE w:val="0"/>
              <w:autoSpaceDN w:val="0"/>
              <w:adjustRightInd w:val="0"/>
              <w:jc w:val="both"/>
              <w:rPr>
                <w:rFonts w:cs="Avenir-Heavy"/>
                <w:b/>
                <w:sz w:val="15"/>
                <w:szCs w:val="15"/>
                <w:lang w:eastAsia="en-GB"/>
              </w:rPr>
            </w:pPr>
            <w:r w:rsidRPr="00EA405A">
              <w:rPr>
                <w:rFonts w:cs="Avenir-Heavy"/>
                <w:b/>
                <w:sz w:val="15"/>
                <w:szCs w:val="15"/>
                <w:lang w:eastAsia="en-GB"/>
              </w:rPr>
              <w:t>7. gr. Útborgun sparnaðar</w:t>
            </w:r>
          </w:p>
          <w:p w14:paraId="76D854FD" w14:textId="77777777" w:rsidR="00F62B98" w:rsidRPr="00EA405A" w:rsidRDefault="00AA342C" w:rsidP="00F62B98">
            <w:pPr>
              <w:autoSpaceDE w:val="0"/>
              <w:autoSpaceDN w:val="0"/>
              <w:adjustRightInd w:val="0"/>
              <w:jc w:val="both"/>
              <w:rPr>
                <w:rFonts w:cs="Avenir-Light"/>
                <w:sz w:val="15"/>
                <w:szCs w:val="15"/>
                <w:lang w:eastAsia="en-GB"/>
              </w:rPr>
            </w:pPr>
            <w:r w:rsidRPr="00EA405A">
              <w:rPr>
                <w:rFonts w:cs="Avenir-Light"/>
                <w:sz w:val="15"/>
                <w:szCs w:val="15"/>
                <w:lang w:eastAsia="en-GB"/>
              </w:rPr>
              <w:t xml:space="preserve">Útborgun sparnaðar getur aðeins komið til vegna aldurs, örorku eða andláts rétthafa. </w:t>
            </w:r>
            <w:r w:rsidR="00F62B98" w:rsidRPr="00EA405A">
              <w:rPr>
                <w:rFonts w:cs="Avenir-Light"/>
                <w:sz w:val="15"/>
                <w:szCs w:val="15"/>
                <w:lang w:eastAsia="en-GB"/>
              </w:rPr>
              <w:t>Rétthafi getur hafið úttekt á innstæðu eða gert sérstakan út</w:t>
            </w:r>
            <w:r w:rsidR="00F62B98" w:rsidRPr="00EA405A">
              <w:rPr>
                <w:rFonts w:cs="Avenir-Light"/>
                <w:sz w:val="15"/>
                <w:szCs w:val="15"/>
                <w:lang w:eastAsia="en-GB"/>
              </w:rPr>
              <w:softHyphen/>
              <w:t>borgunarsamning 2 árum eftir fyrstu greiðslu iðgjalds.</w:t>
            </w:r>
            <w:r w:rsidR="00F62B98">
              <w:rPr>
                <w:rFonts w:cs="Avenir-Light"/>
                <w:sz w:val="15"/>
                <w:szCs w:val="15"/>
                <w:lang w:eastAsia="en-GB"/>
              </w:rPr>
              <w:t xml:space="preserve"> </w:t>
            </w:r>
            <w:r w:rsidR="00F62B98" w:rsidRPr="00EA405A">
              <w:rPr>
                <w:rFonts w:cs="Avenir-Light"/>
                <w:sz w:val="15"/>
                <w:szCs w:val="15"/>
                <w:lang w:eastAsia="en-GB"/>
              </w:rPr>
              <w:t xml:space="preserve">Þegar rétthafi er orðinn 60 ára er heimilt að greiða út lífeyrissparnað ásamt vöxtum. </w:t>
            </w:r>
          </w:p>
          <w:p w14:paraId="318E5751" w14:textId="77777777" w:rsidR="00AA342C" w:rsidRPr="00EA405A" w:rsidRDefault="00AA342C" w:rsidP="00602F1D">
            <w:pPr>
              <w:autoSpaceDE w:val="0"/>
              <w:autoSpaceDN w:val="0"/>
              <w:adjustRightInd w:val="0"/>
              <w:jc w:val="both"/>
              <w:rPr>
                <w:sz w:val="15"/>
                <w:szCs w:val="15"/>
              </w:rPr>
            </w:pPr>
          </w:p>
        </w:tc>
        <w:tc>
          <w:tcPr>
            <w:tcW w:w="2557" w:type="pct"/>
          </w:tcPr>
          <w:p w14:paraId="425FAA45" w14:textId="393C0D8C" w:rsidR="00AA342C" w:rsidRPr="00927A52" w:rsidRDefault="00AA342C" w:rsidP="00602F1D">
            <w:pPr>
              <w:autoSpaceDE w:val="0"/>
              <w:autoSpaceDN w:val="0"/>
              <w:adjustRightInd w:val="0"/>
              <w:jc w:val="both"/>
              <w:rPr>
                <w:rFonts w:cs="Avenir-Light"/>
                <w:sz w:val="15"/>
                <w:szCs w:val="15"/>
                <w:lang w:eastAsia="en-GB"/>
              </w:rPr>
            </w:pPr>
            <w:r w:rsidRPr="00927A52">
              <w:rPr>
                <w:rFonts w:cs="Avenir-Light"/>
                <w:sz w:val="15"/>
                <w:szCs w:val="15"/>
                <w:lang w:eastAsia="en-GB"/>
              </w:rPr>
              <w:t>Deyi rétthafi áður en innstæða er að fullu greidd út fellur hún til erfingja hans og skiptist milli þeirra eftir reglum erfðalaga. Láti rétthafi ekki eftir sig maka eða barn rennur innstæðan til dánarbúsins og gildir þá ekki takmörkunin í 2. málsl. 2. mgr. 8. gr. laga nr. 129/1997.</w:t>
            </w:r>
          </w:p>
          <w:p w14:paraId="6B13E5DE" w14:textId="77777777" w:rsidR="00AA342C" w:rsidRPr="00927A52" w:rsidRDefault="00AA342C" w:rsidP="00602F1D">
            <w:pPr>
              <w:autoSpaceDE w:val="0"/>
              <w:autoSpaceDN w:val="0"/>
              <w:adjustRightInd w:val="0"/>
              <w:jc w:val="both"/>
              <w:rPr>
                <w:rFonts w:cs="Avenir-Light"/>
                <w:sz w:val="15"/>
                <w:szCs w:val="15"/>
                <w:lang w:eastAsia="en-GB"/>
              </w:rPr>
            </w:pPr>
            <w:r w:rsidRPr="00927A52">
              <w:rPr>
                <w:rFonts w:cs="Avenir-Light"/>
                <w:sz w:val="15"/>
                <w:szCs w:val="15"/>
                <w:lang w:eastAsia="en-GB"/>
              </w:rPr>
              <w:t>Verði rétthafi öryrki og orkutapið sem hann verður fyrir er 100% á hann rétt á að fá lífeyrissparnað og vexti greidda út með jöfnum árlegum greiðslum á 7 árum. Árleg út</w:t>
            </w:r>
            <w:r w:rsidRPr="00927A52">
              <w:rPr>
                <w:rFonts w:cs="Avenir-Light"/>
                <w:sz w:val="15"/>
                <w:szCs w:val="15"/>
                <w:lang w:eastAsia="en-GB"/>
              </w:rPr>
              <w:softHyphen/>
              <w:t>borgun lækkar og úttektar</w:t>
            </w:r>
            <w:r w:rsidRPr="00927A52">
              <w:rPr>
                <w:rFonts w:cs="Avenir-Light"/>
                <w:sz w:val="15"/>
                <w:szCs w:val="15"/>
                <w:lang w:eastAsia="en-GB"/>
              </w:rPr>
              <w:softHyphen/>
              <w:t>tími lengist í hlutfalli við lækkun örorkuprósentu, sbr. 3. mgr. 11. gr. laga nr. 129/1997. Útborgun getur í fyrsta lagi hafist þegar vottorð um örorku og orkutap liggja fyrir. Ef innstæða rétthafa sem orðið hefur fyrir orkutapi er undir kr. 500.000 þegar að út</w:t>
            </w:r>
            <w:r w:rsidRPr="00927A52">
              <w:rPr>
                <w:rFonts w:cs="Avenir-Light"/>
                <w:sz w:val="15"/>
                <w:szCs w:val="15"/>
                <w:lang w:eastAsia="en-GB"/>
              </w:rPr>
              <w:softHyphen/>
              <w:t xml:space="preserve">greiðslu kemur er hún greidd út í eingreiðslu, sé þess óskað. </w:t>
            </w:r>
          </w:p>
          <w:p w14:paraId="75665674" w14:textId="77777777" w:rsidR="00AA342C" w:rsidRPr="00927A52" w:rsidRDefault="00AA342C" w:rsidP="00602F1D">
            <w:pPr>
              <w:autoSpaceDE w:val="0"/>
              <w:autoSpaceDN w:val="0"/>
              <w:adjustRightInd w:val="0"/>
              <w:jc w:val="both"/>
              <w:rPr>
                <w:rFonts w:cs="Avenir-Light"/>
                <w:sz w:val="15"/>
                <w:szCs w:val="15"/>
                <w:lang w:val="nb-NO" w:eastAsia="en-GB"/>
              </w:rPr>
            </w:pPr>
            <w:r w:rsidRPr="00927A52">
              <w:rPr>
                <w:rFonts w:cs="Avenir-Light"/>
                <w:sz w:val="15"/>
                <w:szCs w:val="15"/>
                <w:lang w:eastAsia="en-GB"/>
              </w:rPr>
              <w:t>Viðmiðunar</w:t>
            </w:r>
            <w:r w:rsidRPr="00927A52">
              <w:rPr>
                <w:rFonts w:cs="Avenir-Light"/>
                <w:sz w:val="15"/>
                <w:szCs w:val="15"/>
                <w:lang w:eastAsia="en-GB"/>
              </w:rPr>
              <w:softHyphen/>
              <w:t>fjár</w:t>
            </w:r>
            <w:r w:rsidRPr="00927A52">
              <w:rPr>
                <w:rFonts w:cs="Avenir-Light"/>
                <w:sz w:val="15"/>
                <w:szCs w:val="15"/>
                <w:lang w:eastAsia="en-GB"/>
              </w:rPr>
              <w:softHyphen/>
              <w:t>hæð þessi breytist árlega í hlutfalli við breytingu á vísitölu neyslu</w:t>
            </w:r>
            <w:r w:rsidRPr="00927A52">
              <w:rPr>
                <w:rFonts w:cs="Avenir-Light"/>
                <w:sz w:val="15"/>
                <w:szCs w:val="15"/>
                <w:lang w:eastAsia="en-GB"/>
              </w:rPr>
              <w:softHyphen/>
              <w:t xml:space="preserve">verðs miðað við grunnvísitölu 173,5 stig. </w:t>
            </w:r>
            <w:r w:rsidRPr="00927A52">
              <w:rPr>
                <w:rFonts w:cs="Avenir-Light"/>
                <w:sz w:val="15"/>
                <w:szCs w:val="15"/>
                <w:lang w:val="nb-NO" w:eastAsia="en-GB"/>
              </w:rPr>
              <w:t>Unnt er að semja um annan og lengri útborgunar</w:t>
            </w:r>
            <w:r w:rsidRPr="00927A52">
              <w:rPr>
                <w:rFonts w:cs="Avenir-Light"/>
                <w:sz w:val="15"/>
                <w:szCs w:val="15"/>
                <w:lang w:val="nb-NO" w:eastAsia="en-GB"/>
              </w:rPr>
              <w:softHyphen/>
              <w:t>tíma en greinir hér fyrir ofan. Með jöfnum greiðslum hér fyrir framan er átt við greiðsl</w:t>
            </w:r>
            <w:r w:rsidRPr="00927A52">
              <w:rPr>
                <w:rFonts w:cs="Avenir-Light"/>
                <w:sz w:val="15"/>
                <w:szCs w:val="15"/>
                <w:lang w:val="nb-NO" w:eastAsia="en-GB"/>
              </w:rPr>
              <w:softHyphen/>
              <w:t>ur að tiltölu við fjölda greiðsluára þannig að rétthafi fái á hverju ári þann hluta inn</w:t>
            </w:r>
            <w:r w:rsidRPr="00927A52">
              <w:rPr>
                <w:rFonts w:cs="Avenir-Light"/>
                <w:sz w:val="15"/>
                <w:szCs w:val="15"/>
                <w:lang w:val="nb-NO" w:eastAsia="en-GB"/>
              </w:rPr>
              <w:softHyphen/>
              <w:t>stæðunnar að meðtöldum vöxtum sem sam</w:t>
            </w:r>
            <w:r w:rsidRPr="00927A52">
              <w:rPr>
                <w:rFonts w:cs="Avenir-Light"/>
                <w:sz w:val="15"/>
                <w:szCs w:val="15"/>
                <w:lang w:val="nb-NO" w:eastAsia="en-GB"/>
              </w:rPr>
              <w:softHyphen/>
              <w:t>svarar tölu þeirra ára sem eftir standa af endurgreiðslutímanum.</w:t>
            </w:r>
          </w:p>
          <w:p w14:paraId="720F940D" w14:textId="77777777" w:rsidR="00AA342C" w:rsidRPr="00927A52" w:rsidRDefault="00AA342C" w:rsidP="00602F1D">
            <w:pPr>
              <w:autoSpaceDE w:val="0"/>
              <w:autoSpaceDN w:val="0"/>
              <w:adjustRightInd w:val="0"/>
              <w:jc w:val="both"/>
              <w:rPr>
                <w:rFonts w:cs="Avenir-Heavy"/>
                <w:b/>
                <w:sz w:val="15"/>
                <w:szCs w:val="15"/>
                <w:lang w:val="nb-NO" w:eastAsia="en-GB"/>
              </w:rPr>
            </w:pPr>
            <w:r w:rsidRPr="00927A52">
              <w:rPr>
                <w:rFonts w:cs="Avenir-Heavy"/>
                <w:b/>
                <w:sz w:val="15"/>
                <w:szCs w:val="15"/>
                <w:lang w:val="nb-NO" w:eastAsia="en-GB"/>
              </w:rPr>
              <w:t>8. gr. Uppsögn samnings</w:t>
            </w:r>
          </w:p>
          <w:p w14:paraId="5AAFB6EC" w14:textId="77777777" w:rsidR="00AA342C" w:rsidRPr="00927A52" w:rsidRDefault="00AA342C" w:rsidP="00602F1D">
            <w:pPr>
              <w:autoSpaceDE w:val="0"/>
              <w:autoSpaceDN w:val="0"/>
              <w:adjustRightInd w:val="0"/>
              <w:jc w:val="both"/>
              <w:rPr>
                <w:rFonts w:cs="Avenir-Light"/>
                <w:sz w:val="15"/>
                <w:szCs w:val="15"/>
                <w:lang w:eastAsia="en-GB"/>
              </w:rPr>
            </w:pPr>
            <w:r w:rsidRPr="00927A52">
              <w:rPr>
                <w:rFonts w:cs="Arial"/>
                <w:sz w:val="15"/>
                <w:szCs w:val="15"/>
              </w:rPr>
              <w:t xml:space="preserve">Undirritun rétthafa á samninginn skuldbindur hann ekki fyrr en fjórtán dögum frá gerð samningsins og er rétthafa heimilt að falla frá samningi innan þess frests. </w:t>
            </w:r>
            <w:r w:rsidRPr="00927A52">
              <w:rPr>
                <w:rFonts w:cs="Avenir-Light"/>
                <w:sz w:val="15"/>
                <w:szCs w:val="15"/>
                <w:lang w:eastAsia="en-GB"/>
              </w:rPr>
              <w:t>Samningi um Lífeyrisauka er hægt að segja upp með tveggja mánaða fyrirvara. Uppsögn skal vera skrifleg og undirrituð af rétthafa. Uppsögn veitir ekki rétt til út</w:t>
            </w:r>
            <w:r w:rsidRPr="00927A52">
              <w:rPr>
                <w:rFonts w:cs="Avenir-Light"/>
                <w:sz w:val="15"/>
                <w:szCs w:val="15"/>
                <w:lang w:eastAsia="en-GB"/>
              </w:rPr>
              <w:softHyphen/>
              <w:t>borgunar innstæðu. Hætti iðgjöld vegna rétthafa að berast til Arion banka hf. af ein</w:t>
            </w:r>
            <w:r w:rsidRPr="00927A52">
              <w:rPr>
                <w:rFonts w:cs="Avenir-Light"/>
                <w:sz w:val="15"/>
                <w:szCs w:val="15"/>
                <w:lang w:eastAsia="en-GB"/>
              </w:rPr>
              <w:softHyphen/>
              <w:t>hverjum ástæðum verður innstæðan ásamt vöxtum ávöxtuð áfram hjá bankanum og greidd út sam</w:t>
            </w:r>
            <w:r w:rsidRPr="00927A52">
              <w:rPr>
                <w:rFonts w:cs="Avenir-Light"/>
                <w:sz w:val="15"/>
                <w:szCs w:val="15"/>
                <w:lang w:eastAsia="en-GB"/>
              </w:rPr>
              <w:softHyphen/>
              <w:t>kvæmt útborgunarreglum 7. gr.</w:t>
            </w:r>
          </w:p>
          <w:p w14:paraId="220973D9" w14:textId="77777777" w:rsidR="00AA342C" w:rsidRPr="00927A52" w:rsidRDefault="00AA342C" w:rsidP="00602F1D">
            <w:pPr>
              <w:autoSpaceDE w:val="0"/>
              <w:autoSpaceDN w:val="0"/>
              <w:adjustRightInd w:val="0"/>
              <w:jc w:val="both"/>
              <w:rPr>
                <w:rFonts w:cs="Avenir-Heavy"/>
                <w:b/>
                <w:sz w:val="15"/>
                <w:szCs w:val="15"/>
                <w:lang w:eastAsia="en-GB"/>
              </w:rPr>
            </w:pPr>
            <w:r w:rsidRPr="00927A52">
              <w:rPr>
                <w:rFonts w:cs="Avenir-Heavy"/>
                <w:b/>
                <w:sz w:val="15"/>
                <w:szCs w:val="15"/>
                <w:lang w:eastAsia="en-GB"/>
              </w:rPr>
              <w:t>9. gr. Flutningur milli vörsluaðila</w:t>
            </w:r>
          </w:p>
          <w:p w14:paraId="5FAE05D3" w14:textId="77777777" w:rsidR="00AA342C" w:rsidRPr="00927A52" w:rsidRDefault="00AA342C" w:rsidP="00602F1D">
            <w:pPr>
              <w:tabs>
                <w:tab w:val="left" w:pos="426"/>
              </w:tabs>
              <w:jc w:val="both"/>
              <w:rPr>
                <w:rFonts w:cs="Avenir-Light"/>
                <w:sz w:val="15"/>
                <w:szCs w:val="15"/>
                <w:lang w:eastAsia="en-GB"/>
              </w:rPr>
            </w:pPr>
            <w:r w:rsidRPr="00927A52">
              <w:rPr>
                <w:rFonts w:cs="Avenir-Light"/>
                <w:sz w:val="15"/>
                <w:szCs w:val="15"/>
                <w:lang w:eastAsia="en-GB"/>
              </w:rPr>
              <w:t>Heimilt er að flytja innstæðu til annarra vörsluaðila sem geta boðið samninga af þessu tagi, sbr. 3. mgr. 8. gr. laga nr. 129/1997, óski rétthafi eftir því við Arion banka hf. með skriflegri tilkynningu. Flutningurinn skal eiga sér stað innan tveggja mánaða frá móttöku flutningsbeiðni frá rétthafa. Kostnaður vegna flutnings skal vera skv. gildandi gjaldskrá Arion banka hf. á hverjum tíma að hámarki 0,5% af inn</w:t>
            </w:r>
            <w:r w:rsidRPr="00927A52">
              <w:rPr>
                <w:rFonts w:cs="Avenir-Light"/>
                <w:sz w:val="15"/>
                <w:szCs w:val="15"/>
                <w:lang w:eastAsia="en-GB"/>
              </w:rPr>
              <w:softHyphen/>
              <w:t>eign rétthafa en að lágmarki 5.000 kr.</w:t>
            </w:r>
          </w:p>
          <w:p w14:paraId="3222601F" w14:textId="77777777" w:rsidR="00AA342C" w:rsidRPr="00927A52" w:rsidRDefault="00AA342C" w:rsidP="00602F1D">
            <w:pPr>
              <w:autoSpaceDE w:val="0"/>
              <w:autoSpaceDN w:val="0"/>
              <w:adjustRightInd w:val="0"/>
              <w:jc w:val="both"/>
              <w:rPr>
                <w:rFonts w:cs="Avenir-Heavy"/>
                <w:b/>
                <w:sz w:val="15"/>
                <w:szCs w:val="15"/>
                <w:lang w:eastAsia="en-GB"/>
              </w:rPr>
            </w:pPr>
            <w:r w:rsidRPr="00927A52">
              <w:rPr>
                <w:rFonts w:cs="Avenir-Heavy"/>
                <w:b/>
                <w:sz w:val="15"/>
                <w:szCs w:val="15"/>
                <w:lang w:eastAsia="en-GB"/>
              </w:rPr>
              <w:t>10. gr. Framsal réttinda</w:t>
            </w:r>
          </w:p>
          <w:p w14:paraId="6BCE5163" w14:textId="77777777" w:rsidR="00AA342C" w:rsidRPr="00927A52" w:rsidRDefault="00AA342C" w:rsidP="00602F1D">
            <w:pPr>
              <w:autoSpaceDE w:val="0"/>
              <w:autoSpaceDN w:val="0"/>
              <w:adjustRightInd w:val="0"/>
              <w:jc w:val="both"/>
              <w:rPr>
                <w:rFonts w:cs="Avenir-Light"/>
                <w:sz w:val="15"/>
                <w:szCs w:val="15"/>
                <w:lang w:eastAsia="en-GB"/>
              </w:rPr>
            </w:pPr>
            <w:r w:rsidRPr="00927A52">
              <w:rPr>
                <w:rFonts w:cs="Avenir-Light"/>
                <w:sz w:val="15"/>
                <w:szCs w:val="15"/>
                <w:lang w:eastAsia="en-GB"/>
              </w:rPr>
              <w:t>Rétthafa er óheimilt að framselja, veðsetja eða á annan hátt ráðstafa inn</w:t>
            </w:r>
            <w:r w:rsidRPr="00927A52">
              <w:rPr>
                <w:rFonts w:cs="Avenir-Light"/>
                <w:sz w:val="15"/>
                <w:szCs w:val="15"/>
                <w:lang w:eastAsia="en-GB"/>
              </w:rPr>
              <w:softHyphen/>
              <w:t>stæðu eða réttindum skv. samningi um aðild að Lífeyrisauka, nema sam</w:t>
            </w:r>
            <w:r w:rsidRPr="00927A52">
              <w:rPr>
                <w:rFonts w:cs="Avenir-Light"/>
                <w:sz w:val="15"/>
                <w:szCs w:val="15"/>
                <w:lang w:eastAsia="en-GB"/>
              </w:rPr>
              <w:softHyphen/>
              <w:t>kvæmt 1. - 3. tl. 3. mgr. 14. gr. laga nr. 129/1997.</w:t>
            </w:r>
          </w:p>
          <w:p w14:paraId="651531C8" w14:textId="77777777" w:rsidR="00AA342C" w:rsidRPr="00927A52" w:rsidRDefault="00AA342C" w:rsidP="00602F1D">
            <w:pPr>
              <w:autoSpaceDE w:val="0"/>
              <w:autoSpaceDN w:val="0"/>
              <w:adjustRightInd w:val="0"/>
              <w:jc w:val="both"/>
              <w:rPr>
                <w:rFonts w:cs="Avenir-Heavy"/>
                <w:b/>
                <w:sz w:val="15"/>
                <w:szCs w:val="15"/>
                <w:lang w:eastAsia="en-GB"/>
              </w:rPr>
            </w:pPr>
            <w:r w:rsidRPr="00927A52">
              <w:rPr>
                <w:rFonts w:cs="Avenir-Heavy"/>
                <w:b/>
                <w:sz w:val="15"/>
                <w:szCs w:val="15"/>
                <w:lang w:eastAsia="en-GB"/>
              </w:rPr>
              <w:t xml:space="preserve">11. gr. Breyting á reglum </w:t>
            </w:r>
          </w:p>
          <w:p w14:paraId="7923B85E" w14:textId="77777777" w:rsidR="00AA342C" w:rsidRPr="00927A52" w:rsidRDefault="00AA342C" w:rsidP="00602F1D">
            <w:pPr>
              <w:autoSpaceDE w:val="0"/>
              <w:autoSpaceDN w:val="0"/>
              <w:adjustRightInd w:val="0"/>
              <w:jc w:val="both"/>
              <w:rPr>
                <w:rFonts w:cs="Avenir-Light"/>
                <w:sz w:val="15"/>
                <w:szCs w:val="15"/>
                <w:lang w:eastAsia="en-GB"/>
              </w:rPr>
            </w:pPr>
            <w:r w:rsidRPr="00927A52">
              <w:rPr>
                <w:rFonts w:cs="Avenir-Light"/>
                <w:sz w:val="15"/>
                <w:szCs w:val="15"/>
                <w:lang w:eastAsia="en-GB"/>
              </w:rPr>
              <w:t>Arion banka hf. er heimilt að breyta reglum þessum að undangengnu sam</w:t>
            </w:r>
            <w:r w:rsidRPr="00927A52">
              <w:rPr>
                <w:rFonts w:cs="Avenir-Light"/>
                <w:sz w:val="15"/>
                <w:szCs w:val="15"/>
                <w:lang w:eastAsia="en-GB"/>
              </w:rPr>
              <w:softHyphen/>
              <w:t>þykki fjár</w:t>
            </w:r>
            <w:r w:rsidRPr="00927A52">
              <w:rPr>
                <w:rFonts w:cs="Avenir-Light"/>
                <w:sz w:val="15"/>
                <w:szCs w:val="15"/>
                <w:lang w:eastAsia="en-GB"/>
              </w:rPr>
              <w:softHyphen/>
              <w:t>málaráðherra.</w:t>
            </w:r>
          </w:p>
          <w:p w14:paraId="6A64F1DF" w14:textId="77777777" w:rsidR="00AA342C" w:rsidRPr="00927A52" w:rsidRDefault="00AA342C" w:rsidP="00602F1D">
            <w:pPr>
              <w:autoSpaceDE w:val="0"/>
              <w:autoSpaceDN w:val="0"/>
              <w:adjustRightInd w:val="0"/>
              <w:jc w:val="both"/>
              <w:rPr>
                <w:rFonts w:cs="Avenir-Heavy"/>
                <w:b/>
                <w:sz w:val="15"/>
                <w:szCs w:val="15"/>
                <w:lang w:eastAsia="en-GB"/>
              </w:rPr>
            </w:pPr>
            <w:r w:rsidRPr="00927A52">
              <w:rPr>
                <w:rFonts w:cs="Avenir-Heavy"/>
                <w:b/>
                <w:sz w:val="15"/>
                <w:szCs w:val="15"/>
                <w:lang w:eastAsia="en-GB"/>
              </w:rPr>
              <w:t>12. gr. Innheimta</w:t>
            </w:r>
          </w:p>
          <w:p w14:paraId="3D9FDE70" w14:textId="77777777" w:rsidR="00AA342C" w:rsidRPr="00927A52" w:rsidRDefault="00AA342C" w:rsidP="00602F1D">
            <w:pPr>
              <w:tabs>
                <w:tab w:val="left" w:pos="426"/>
              </w:tabs>
              <w:jc w:val="both"/>
              <w:rPr>
                <w:rFonts w:cs="Avenir-Light"/>
                <w:sz w:val="15"/>
                <w:szCs w:val="15"/>
                <w:lang w:eastAsia="en-GB"/>
              </w:rPr>
            </w:pPr>
            <w:r w:rsidRPr="00927A52">
              <w:rPr>
                <w:rFonts w:cs="Avenir-Light"/>
                <w:sz w:val="15"/>
                <w:szCs w:val="15"/>
                <w:lang w:eastAsia="en-GB"/>
              </w:rPr>
              <w:t>Ábyrgð á skilum launagreiðanda á afdregnum iðgjöldum lífeyrissparnaðar er hjá rétt</w:t>
            </w:r>
            <w:r w:rsidRPr="00927A52">
              <w:rPr>
                <w:rFonts w:cs="Avenir-Light"/>
                <w:sz w:val="15"/>
                <w:szCs w:val="15"/>
                <w:lang w:eastAsia="en-GB"/>
              </w:rPr>
              <w:softHyphen/>
              <w:t>hafa. Óski rétthafi eftir aðstoð Arion banka hf. við innheimtu van</w:t>
            </w:r>
            <w:r w:rsidRPr="00927A52">
              <w:rPr>
                <w:rFonts w:cs="Avenir-Light"/>
                <w:sz w:val="15"/>
                <w:szCs w:val="15"/>
                <w:lang w:eastAsia="en-GB"/>
              </w:rPr>
              <w:softHyphen/>
              <w:t>goldinna ið</w:t>
            </w:r>
            <w:r w:rsidRPr="00927A52">
              <w:rPr>
                <w:rFonts w:cs="Avenir-Light"/>
                <w:sz w:val="15"/>
                <w:szCs w:val="15"/>
                <w:lang w:eastAsia="en-GB"/>
              </w:rPr>
              <w:softHyphen/>
              <w:t>gjalda skal tilkynning þess efnis berast með skriflegum hætti til bankans ásamt launaseðlum sem sýna afdregin iðgjöld. Við gjaldþrot launa</w:t>
            </w:r>
            <w:r w:rsidRPr="00927A52">
              <w:rPr>
                <w:rFonts w:cs="Avenir-Light"/>
                <w:sz w:val="15"/>
                <w:szCs w:val="15"/>
                <w:lang w:eastAsia="en-GB"/>
              </w:rPr>
              <w:softHyphen/>
              <w:t>greiðanda ábyrgist Ábyrgðasjóður launa kröf</w:t>
            </w:r>
            <w:r w:rsidRPr="00927A52">
              <w:rPr>
                <w:rFonts w:cs="Avenir-Light"/>
                <w:sz w:val="15"/>
                <w:szCs w:val="15"/>
                <w:lang w:eastAsia="en-GB"/>
              </w:rPr>
              <w:softHyphen/>
              <w:t>ur um vangoldin iðgjöld sem fallið hafa í gjalddaga að ákveðnum skilyrðum upp</w:t>
            </w:r>
            <w:r w:rsidRPr="00927A52">
              <w:rPr>
                <w:rFonts w:cs="Avenir-Light"/>
                <w:sz w:val="15"/>
                <w:szCs w:val="15"/>
                <w:lang w:eastAsia="en-GB"/>
              </w:rPr>
              <w:softHyphen/>
              <w:t>fylltum, sbr. III. kafla reglu</w:t>
            </w:r>
            <w:r w:rsidRPr="00927A52">
              <w:rPr>
                <w:rFonts w:cs="Avenir-Light"/>
                <w:sz w:val="15"/>
                <w:szCs w:val="15"/>
                <w:lang w:eastAsia="en-GB"/>
              </w:rPr>
              <w:softHyphen/>
              <w:t xml:space="preserve">gerðar nr. 462/2003, um Ábyrgðasjóð launa, sem er að finna á </w:t>
            </w:r>
            <w:hyperlink r:id="rId11" w:history="1">
              <w:r w:rsidRPr="00927A52">
                <w:rPr>
                  <w:rStyle w:val="Hyperlink"/>
                  <w:rFonts w:cs="Avenir-Light"/>
                  <w:sz w:val="15"/>
                  <w:szCs w:val="15"/>
                  <w:lang w:eastAsia="en-GB"/>
                </w:rPr>
                <w:t>www.arionbanki.is/lifeyrir</w:t>
              </w:r>
            </w:hyperlink>
            <w:r w:rsidRPr="00927A52">
              <w:rPr>
                <w:rFonts w:cs="Avenir-Light"/>
                <w:sz w:val="15"/>
                <w:szCs w:val="15"/>
                <w:lang w:eastAsia="en-GB"/>
              </w:rPr>
              <w:t>.</w:t>
            </w:r>
          </w:p>
          <w:p w14:paraId="39255424" w14:textId="09B108BB" w:rsidR="00AA342C" w:rsidRPr="00927A52" w:rsidRDefault="00AA342C" w:rsidP="00602F1D">
            <w:pPr>
              <w:jc w:val="both"/>
              <w:rPr>
                <w:b/>
                <w:sz w:val="15"/>
                <w:szCs w:val="15"/>
              </w:rPr>
            </w:pPr>
            <w:r w:rsidRPr="00927A52">
              <w:rPr>
                <w:b/>
                <w:sz w:val="15"/>
                <w:szCs w:val="15"/>
              </w:rPr>
              <w:t>Reglur sem eiga eingöngu við rétthafa sem gera samning um Örorkutryggingu Varðar</w:t>
            </w:r>
            <w:r w:rsidR="00616D94" w:rsidRPr="00927A52">
              <w:rPr>
                <w:b/>
                <w:sz w:val="15"/>
                <w:szCs w:val="15"/>
              </w:rPr>
              <w:t>.</w:t>
            </w:r>
          </w:p>
          <w:p w14:paraId="6819C0AB" w14:textId="77777777" w:rsidR="00AA342C" w:rsidRPr="00927A52" w:rsidRDefault="00AA342C" w:rsidP="00602F1D">
            <w:pPr>
              <w:jc w:val="both"/>
              <w:rPr>
                <w:b/>
                <w:sz w:val="15"/>
                <w:szCs w:val="15"/>
              </w:rPr>
            </w:pPr>
            <w:r w:rsidRPr="00927A52">
              <w:rPr>
                <w:b/>
                <w:sz w:val="15"/>
                <w:szCs w:val="15"/>
              </w:rPr>
              <w:t>1. gr. Almennir skilmálar</w:t>
            </w:r>
          </w:p>
          <w:p w14:paraId="3F0146EC" w14:textId="71CBF993" w:rsidR="00AA342C" w:rsidRPr="00927A52" w:rsidRDefault="00AA342C" w:rsidP="00602F1D">
            <w:pPr>
              <w:jc w:val="both"/>
              <w:rPr>
                <w:sz w:val="15"/>
                <w:szCs w:val="15"/>
              </w:rPr>
            </w:pPr>
            <w:r w:rsidRPr="00927A52">
              <w:rPr>
                <w:sz w:val="15"/>
                <w:szCs w:val="15"/>
              </w:rPr>
              <w:t>Um örorkutryggingu vegna slyss og sjúkdóma (örorkutryggingu) gilda vátryggingarskilmálar Varðar Trygginga. Arion banki hf., sem vörsluaðili Lífeyrisauka, skuldbindur sig til að ráðstafa hluta iðgjalds rétthafa, sem eru á aldursbilinu 20-60 ára, til greiðslu iðgjalds örorkutryggingar í samræmi við samning rétthafa og Varðar Trygginga</w:t>
            </w:r>
            <w:r w:rsidR="00F62B98" w:rsidRPr="00927A52">
              <w:rPr>
                <w:sz w:val="15"/>
                <w:szCs w:val="15"/>
              </w:rPr>
              <w:t xml:space="preserve"> hf.</w:t>
            </w:r>
            <w:r w:rsidRPr="00927A52">
              <w:rPr>
                <w:sz w:val="15"/>
                <w:szCs w:val="15"/>
              </w:rPr>
              <w:t xml:space="preserve"> og skilmála vátryggingarinnar. Komi til þess að greiðsluskylda Varðar </w:t>
            </w:r>
            <w:r w:rsidR="00616D94" w:rsidRPr="00927A52">
              <w:rPr>
                <w:sz w:val="15"/>
                <w:szCs w:val="15"/>
              </w:rPr>
              <w:t xml:space="preserve">líftrygginga </w:t>
            </w:r>
            <w:r w:rsidRPr="00927A52">
              <w:rPr>
                <w:sz w:val="15"/>
                <w:szCs w:val="15"/>
              </w:rPr>
              <w:t>hf. verði virk skv. vátryggingunni og vátryggingarbætur verði greiddar, mun Arion banki hf. taka á móti greiðslunni og ráðstafa henni í fjárfestingarleið/ir rétthafa í Lífeyrisauka. Að fullnægðum skilyrðum útborgunarreglna 11. gr. laga nr. 129/1997, um skyldutryggingu lífeyrisréttinda og starfsemi lífeyrissjóða, og í samræmi við þau skattalög sem gilda á hverjum tíma, verður viðbótarlífeyrissparnaðurinn greiddur úr Lífeyrisauka til rétthafa lífeyrissparnaðarins.</w:t>
            </w:r>
          </w:p>
          <w:p w14:paraId="2F0AADAB" w14:textId="1D2372CD" w:rsidR="00AA342C" w:rsidRPr="00927A52" w:rsidRDefault="00AA342C" w:rsidP="00602F1D">
            <w:pPr>
              <w:jc w:val="both"/>
              <w:rPr>
                <w:b/>
                <w:sz w:val="15"/>
                <w:szCs w:val="15"/>
              </w:rPr>
            </w:pPr>
            <w:r w:rsidRPr="00927A52">
              <w:rPr>
                <w:b/>
                <w:sz w:val="15"/>
                <w:szCs w:val="15"/>
              </w:rPr>
              <w:t xml:space="preserve">2. gr. Uppsögn á </w:t>
            </w:r>
            <w:r w:rsidR="00616D94" w:rsidRPr="00927A52">
              <w:rPr>
                <w:b/>
                <w:sz w:val="15"/>
                <w:szCs w:val="15"/>
              </w:rPr>
              <w:t>Örorkutryggingu Varðar.</w:t>
            </w:r>
          </w:p>
          <w:p w14:paraId="3C2184CF" w14:textId="73F7E7A1" w:rsidR="00AA342C" w:rsidRPr="00927A52" w:rsidRDefault="00AA342C" w:rsidP="00602F1D">
            <w:pPr>
              <w:tabs>
                <w:tab w:val="left" w:pos="426"/>
              </w:tabs>
              <w:jc w:val="both"/>
              <w:rPr>
                <w:sz w:val="15"/>
                <w:szCs w:val="15"/>
              </w:rPr>
            </w:pPr>
            <w:r w:rsidRPr="00927A52">
              <w:rPr>
                <w:sz w:val="15"/>
                <w:szCs w:val="15"/>
              </w:rPr>
              <w:t xml:space="preserve">Uppsögn rétthafa á </w:t>
            </w:r>
            <w:r w:rsidR="00616D94" w:rsidRPr="00927A52">
              <w:rPr>
                <w:sz w:val="15"/>
                <w:szCs w:val="15"/>
              </w:rPr>
              <w:t xml:space="preserve">Örorkutryggingu Varðar </w:t>
            </w:r>
            <w:r w:rsidRPr="00927A52">
              <w:rPr>
                <w:sz w:val="15"/>
                <w:szCs w:val="15"/>
              </w:rPr>
              <w:t>felur jafnframt í sér uppsögn á örorkutryggingu Varðar.</w:t>
            </w:r>
          </w:p>
          <w:p w14:paraId="45EAA319" w14:textId="77777777" w:rsidR="00616D94" w:rsidRPr="00927A52" w:rsidRDefault="00616D94" w:rsidP="00602F1D">
            <w:pPr>
              <w:tabs>
                <w:tab w:val="left" w:pos="426"/>
              </w:tabs>
              <w:jc w:val="both"/>
              <w:rPr>
                <w:b/>
                <w:bCs/>
                <w:sz w:val="15"/>
                <w:szCs w:val="15"/>
              </w:rPr>
            </w:pPr>
            <w:r w:rsidRPr="00927A52">
              <w:rPr>
                <w:b/>
                <w:bCs/>
                <w:sz w:val="15"/>
                <w:szCs w:val="15"/>
              </w:rPr>
              <w:t>Gildistaka</w:t>
            </w:r>
          </w:p>
          <w:p w14:paraId="47B53C1B" w14:textId="15D61EC3" w:rsidR="00616D94" w:rsidRPr="00927A52" w:rsidRDefault="00616D94" w:rsidP="00602F1D">
            <w:pPr>
              <w:tabs>
                <w:tab w:val="left" w:pos="426"/>
              </w:tabs>
              <w:jc w:val="both"/>
              <w:rPr>
                <w:sz w:val="15"/>
                <w:szCs w:val="15"/>
              </w:rPr>
            </w:pPr>
            <w:r w:rsidRPr="00927A52">
              <w:rPr>
                <w:sz w:val="15"/>
                <w:szCs w:val="15"/>
              </w:rPr>
              <w:t>Reglurnar munu taka gildi um nk. áramót að gefinni staðfestingu ráðuneytisins og samhliða uppfærðri fjárfestingarstefnu Lífeyrisauka í samræmi við 36. gr. laga nr. 129/1997 um skyldutryggingu lífeyrisréttinda og starfsemi lífeyrissjóða.</w:t>
            </w:r>
          </w:p>
        </w:tc>
      </w:tr>
    </w:tbl>
    <w:p w14:paraId="35B15B40" w14:textId="77777777" w:rsidR="00AA342C" w:rsidRPr="00CD7876" w:rsidRDefault="00AA342C" w:rsidP="00602F1D">
      <w:pPr>
        <w:rPr>
          <w:rStyle w:val="SubtleEmphasis"/>
        </w:rPr>
      </w:pPr>
    </w:p>
    <w:sectPr w:rsidR="00AA342C" w:rsidRPr="00CD7876" w:rsidSect="00752E3D">
      <w:footerReference w:type="default" r:id="rId12"/>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5F4A" w14:textId="77777777" w:rsidR="009D6F49" w:rsidRDefault="009D6F49" w:rsidP="006C3641">
      <w:r>
        <w:separator/>
      </w:r>
    </w:p>
  </w:endnote>
  <w:endnote w:type="continuationSeparator" w:id="0">
    <w:p w14:paraId="14A6BFC7" w14:textId="77777777" w:rsidR="009D6F49" w:rsidRDefault="009D6F49"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Heavy">
    <w:charset w:val="00"/>
    <w:family w:val="swiss"/>
    <w:pitch w:val="variable"/>
    <w:sig w:usb0="00000003" w:usb1="00000000" w:usb2="00000000" w:usb3="00000000" w:csb0="00000001" w:csb1="00000000"/>
  </w:font>
  <w:font w:name="Avenir-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0411C4D" w14:textId="77777777" w:rsidTr="007A34DE">
      <w:trPr>
        <w:trHeight w:val="794"/>
      </w:trPr>
      <w:tc>
        <w:tcPr>
          <w:tcW w:w="1741" w:type="pct"/>
          <w:vAlign w:val="bottom"/>
        </w:tcPr>
        <w:p w14:paraId="7E9A5E20" w14:textId="2E7F9251" w:rsidR="007A34DE" w:rsidRDefault="007A34DE" w:rsidP="00AA342C">
          <w:pPr>
            <w:rPr>
              <w:rStyle w:val="Emphasis"/>
            </w:rPr>
          </w:pPr>
          <w:r w:rsidRPr="00C21889">
            <w:rPr>
              <w:rStyle w:val="Emphasis"/>
            </w:rPr>
            <w:t xml:space="preserve">Ebl. </w:t>
          </w:r>
          <w:bookmarkStart w:id="19" w:name="T_NR"/>
          <w:r>
            <w:rPr>
              <w:rStyle w:val="Emphasis"/>
            </w:rPr>
            <w:t>18</w:t>
          </w:r>
          <w:r w:rsidR="00AA342C">
            <w:rPr>
              <w:rStyle w:val="Emphasis"/>
            </w:rPr>
            <w:t>.2.1.4.3</w:t>
          </w:r>
          <w:bookmarkEnd w:id="19"/>
          <w:r>
            <w:rPr>
              <w:rStyle w:val="Emphasis"/>
            </w:rPr>
            <w:t xml:space="preserve">  /  </w:t>
          </w:r>
          <w:r w:rsidR="0099757B">
            <w:rPr>
              <w:rStyle w:val="Emphasis"/>
            </w:rPr>
            <w:t>12</w:t>
          </w:r>
          <w:r w:rsidR="00752E3D">
            <w:rPr>
              <w:rStyle w:val="Emphasis"/>
            </w:rPr>
            <w:t>.</w:t>
          </w:r>
          <w:r w:rsidR="00AA342C">
            <w:rPr>
              <w:rStyle w:val="Emphasis"/>
            </w:rPr>
            <w:t>2</w:t>
          </w:r>
          <w:r w:rsidR="00F770E6">
            <w:rPr>
              <w:rStyle w:val="Emphasis"/>
            </w:rPr>
            <w:t>5</w:t>
          </w:r>
          <w:r w:rsidR="00752E3D">
            <w:rPr>
              <w:rStyle w:val="Emphasis"/>
            </w:rPr>
            <w:t xml:space="preserve"> </w:t>
          </w:r>
          <w:r>
            <w:rPr>
              <w:rStyle w:val="Emphasis"/>
            </w:rPr>
            <w:t xml:space="preserve"> /  </w:t>
          </w:r>
          <w:r w:rsidR="00AA342C">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77F19F3C"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602F1D">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602F1D">
                <w:rPr>
                  <w:rStyle w:val="Emphasis"/>
                  <w:noProof/>
                </w:rPr>
                <w:t>2</w:t>
              </w:r>
              <w:r w:rsidRPr="00AB47BF">
                <w:rPr>
                  <w:rStyle w:val="Emphasis"/>
                </w:rPr>
                <w:fldChar w:fldCharType="end"/>
              </w:r>
            </w:p>
          </w:sdtContent>
        </w:sdt>
      </w:tc>
      <w:tc>
        <w:tcPr>
          <w:tcW w:w="1782" w:type="pct"/>
          <w:vAlign w:val="bottom"/>
        </w:tcPr>
        <w:p w14:paraId="14BB4B36" w14:textId="77777777" w:rsidR="007A34DE" w:rsidRDefault="007A34DE" w:rsidP="00953C8C">
          <w:pPr>
            <w:jc w:val="right"/>
            <w:rPr>
              <w:rStyle w:val="Emphasis"/>
            </w:rPr>
          </w:pPr>
          <w:bookmarkStart w:id="20" w:name="STRIKAM"/>
          <w:bookmarkEnd w:id="20"/>
        </w:p>
      </w:tc>
    </w:tr>
  </w:tbl>
  <w:p w14:paraId="0CE7A3F9"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1C58" w14:textId="77777777" w:rsidR="009D6F49" w:rsidRDefault="009D6F49" w:rsidP="006C3641">
      <w:r>
        <w:separator/>
      </w:r>
    </w:p>
  </w:footnote>
  <w:footnote w:type="continuationSeparator" w:id="0">
    <w:p w14:paraId="0B34A1E4" w14:textId="77777777" w:rsidR="009D6F49" w:rsidRDefault="009D6F49"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10D43D1"/>
    <w:multiLevelType w:val="hybridMultilevel"/>
    <w:tmpl w:val="0B2035CE"/>
    <w:lvl w:ilvl="0" w:tplc="9248393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56D3"/>
    <w:multiLevelType w:val="hybridMultilevel"/>
    <w:tmpl w:val="55144768"/>
    <w:lvl w:ilvl="0" w:tplc="985EBC7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4A14"/>
    <w:multiLevelType w:val="hybridMultilevel"/>
    <w:tmpl w:val="FE4AE4A8"/>
    <w:lvl w:ilvl="0" w:tplc="396C572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107CB"/>
    <w:multiLevelType w:val="hybridMultilevel"/>
    <w:tmpl w:val="616C0A56"/>
    <w:lvl w:ilvl="0" w:tplc="7568A124">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B523D"/>
    <w:multiLevelType w:val="hybridMultilevel"/>
    <w:tmpl w:val="6B4EFB40"/>
    <w:lvl w:ilvl="0" w:tplc="BE764F44">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66F3"/>
    <w:multiLevelType w:val="hybridMultilevel"/>
    <w:tmpl w:val="4F9ECF0C"/>
    <w:lvl w:ilvl="0" w:tplc="10C6BE9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4265B"/>
    <w:multiLevelType w:val="hybridMultilevel"/>
    <w:tmpl w:val="D6562914"/>
    <w:lvl w:ilvl="0" w:tplc="79424EC2">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12302"/>
    <w:multiLevelType w:val="hybridMultilevel"/>
    <w:tmpl w:val="5F14F8D8"/>
    <w:lvl w:ilvl="0" w:tplc="86B422B8">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C3493"/>
    <w:multiLevelType w:val="hybridMultilevel"/>
    <w:tmpl w:val="8780D960"/>
    <w:lvl w:ilvl="0" w:tplc="DF2C59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577802">
    <w:abstractNumId w:val="0"/>
  </w:num>
  <w:num w:numId="2" w16cid:durableId="1669841">
    <w:abstractNumId w:val="9"/>
  </w:num>
  <w:num w:numId="3" w16cid:durableId="96145834">
    <w:abstractNumId w:val="5"/>
  </w:num>
  <w:num w:numId="4" w16cid:durableId="479077059">
    <w:abstractNumId w:val="7"/>
  </w:num>
  <w:num w:numId="5" w16cid:durableId="1151215155">
    <w:abstractNumId w:val="4"/>
  </w:num>
  <w:num w:numId="6" w16cid:durableId="1855416124">
    <w:abstractNumId w:val="8"/>
  </w:num>
  <w:num w:numId="7" w16cid:durableId="1401948567">
    <w:abstractNumId w:val="2"/>
  </w:num>
  <w:num w:numId="8" w16cid:durableId="1123957638">
    <w:abstractNumId w:val="3"/>
  </w:num>
  <w:num w:numId="9" w16cid:durableId="21054595">
    <w:abstractNumId w:val="1"/>
  </w:num>
  <w:num w:numId="10" w16cid:durableId="1558854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EQIUXxC5F3z72aThe9q7q203jAfEwF/JS8t1mTFWrlmxrHTq1WLxTSaN1GiBj1EQFeRjSNJvM+pZ3FKAcabvw==" w:salt="uWOORk/Cbh8gZQkh9DIgEw=="/>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37"/>
    <w:rsid w:val="0001109B"/>
    <w:rsid w:val="00014BB2"/>
    <w:rsid w:val="0001542C"/>
    <w:rsid w:val="0002186B"/>
    <w:rsid w:val="000316D6"/>
    <w:rsid w:val="000400B0"/>
    <w:rsid w:val="00050A78"/>
    <w:rsid w:val="00051379"/>
    <w:rsid w:val="00052B58"/>
    <w:rsid w:val="00056CAD"/>
    <w:rsid w:val="00061E4B"/>
    <w:rsid w:val="00065F40"/>
    <w:rsid w:val="000670F0"/>
    <w:rsid w:val="00067C10"/>
    <w:rsid w:val="000712C2"/>
    <w:rsid w:val="000865A2"/>
    <w:rsid w:val="00092254"/>
    <w:rsid w:val="000A3670"/>
    <w:rsid w:val="000A4C45"/>
    <w:rsid w:val="000A70AC"/>
    <w:rsid w:val="000B69AA"/>
    <w:rsid w:val="000B6BB4"/>
    <w:rsid w:val="000C057D"/>
    <w:rsid w:val="000C4773"/>
    <w:rsid w:val="000C7583"/>
    <w:rsid w:val="000D2372"/>
    <w:rsid w:val="000D450F"/>
    <w:rsid w:val="000D518D"/>
    <w:rsid w:val="000E0508"/>
    <w:rsid w:val="000F45BC"/>
    <w:rsid w:val="000F46F4"/>
    <w:rsid w:val="000F63BC"/>
    <w:rsid w:val="0010014E"/>
    <w:rsid w:val="001046FC"/>
    <w:rsid w:val="00106FCD"/>
    <w:rsid w:val="00107552"/>
    <w:rsid w:val="00107FD9"/>
    <w:rsid w:val="0011046A"/>
    <w:rsid w:val="001246E8"/>
    <w:rsid w:val="001264B8"/>
    <w:rsid w:val="001333FF"/>
    <w:rsid w:val="00145A92"/>
    <w:rsid w:val="001555E7"/>
    <w:rsid w:val="00161D01"/>
    <w:rsid w:val="0016419F"/>
    <w:rsid w:val="00174C7D"/>
    <w:rsid w:val="0018208B"/>
    <w:rsid w:val="00183356"/>
    <w:rsid w:val="001849A2"/>
    <w:rsid w:val="00187381"/>
    <w:rsid w:val="00187915"/>
    <w:rsid w:val="001A49D0"/>
    <w:rsid w:val="001A52B8"/>
    <w:rsid w:val="001A612A"/>
    <w:rsid w:val="001B1FE5"/>
    <w:rsid w:val="001B4971"/>
    <w:rsid w:val="001C4CB6"/>
    <w:rsid w:val="001D3164"/>
    <w:rsid w:val="001D3C7F"/>
    <w:rsid w:val="001D47EF"/>
    <w:rsid w:val="001D7C80"/>
    <w:rsid w:val="001F0D70"/>
    <w:rsid w:val="001F20A6"/>
    <w:rsid w:val="001F32D3"/>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6497A"/>
    <w:rsid w:val="00273B07"/>
    <w:rsid w:val="00277DDA"/>
    <w:rsid w:val="00281425"/>
    <w:rsid w:val="002A6CAC"/>
    <w:rsid w:val="002A77C9"/>
    <w:rsid w:val="002B7689"/>
    <w:rsid w:val="002C0FBA"/>
    <w:rsid w:val="002C3E20"/>
    <w:rsid w:val="002D01C8"/>
    <w:rsid w:val="002D73B6"/>
    <w:rsid w:val="002E39B3"/>
    <w:rsid w:val="002E3B80"/>
    <w:rsid w:val="002E4620"/>
    <w:rsid w:val="002E5ED1"/>
    <w:rsid w:val="002F5BF8"/>
    <w:rsid w:val="002F67E7"/>
    <w:rsid w:val="003030DE"/>
    <w:rsid w:val="00312A5B"/>
    <w:rsid w:val="00312C6E"/>
    <w:rsid w:val="00315427"/>
    <w:rsid w:val="0031688E"/>
    <w:rsid w:val="00330268"/>
    <w:rsid w:val="003337F8"/>
    <w:rsid w:val="0033386C"/>
    <w:rsid w:val="00334D21"/>
    <w:rsid w:val="00343B21"/>
    <w:rsid w:val="00344BCB"/>
    <w:rsid w:val="00352166"/>
    <w:rsid w:val="0035273C"/>
    <w:rsid w:val="003532FD"/>
    <w:rsid w:val="0035371E"/>
    <w:rsid w:val="0036755E"/>
    <w:rsid w:val="00382659"/>
    <w:rsid w:val="00385D0D"/>
    <w:rsid w:val="003900B6"/>
    <w:rsid w:val="00390490"/>
    <w:rsid w:val="00392C29"/>
    <w:rsid w:val="003937FD"/>
    <w:rsid w:val="003A25C4"/>
    <w:rsid w:val="003A26FB"/>
    <w:rsid w:val="003A4A68"/>
    <w:rsid w:val="003A6A66"/>
    <w:rsid w:val="003B2698"/>
    <w:rsid w:val="003B36FD"/>
    <w:rsid w:val="003B669F"/>
    <w:rsid w:val="003C366E"/>
    <w:rsid w:val="003D31B6"/>
    <w:rsid w:val="003D365F"/>
    <w:rsid w:val="003D369E"/>
    <w:rsid w:val="003E2D77"/>
    <w:rsid w:val="003F3003"/>
    <w:rsid w:val="00400FC7"/>
    <w:rsid w:val="00405C3E"/>
    <w:rsid w:val="004062AC"/>
    <w:rsid w:val="00410AD4"/>
    <w:rsid w:val="004131D1"/>
    <w:rsid w:val="0041741A"/>
    <w:rsid w:val="00421D63"/>
    <w:rsid w:val="00423AA5"/>
    <w:rsid w:val="00431386"/>
    <w:rsid w:val="00434C4F"/>
    <w:rsid w:val="00441954"/>
    <w:rsid w:val="00442B74"/>
    <w:rsid w:val="00453971"/>
    <w:rsid w:val="00462E80"/>
    <w:rsid w:val="004631AD"/>
    <w:rsid w:val="0047039E"/>
    <w:rsid w:val="00471AC1"/>
    <w:rsid w:val="00472816"/>
    <w:rsid w:val="00472BAF"/>
    <w:rsid w:val="004830E7"/>
    <w:rsid w:val="0048535C"/>
    <w:rsid w:val="00486999"/>
    <w:rsid w:val="00491BC6"/>
    <w:rsid w:val="004925B1"/>
    <w:rsid w:val="00495BC5"/>
    <w:rsid w:val="004A22A0"/>
    <w:rsid w:val="004A59CE"/>
    <w:rsid w:val="004B2F5A"/>
    <w:rsid w:val="004B669C"/>
    <w:rsid w:val="004B77E1"/>
    <w:rsid w:val="004C62C8"/>
    <w:rsid w:val="004E1FCB"/>
    <w:rsid w:val="004E690F"/>
    <w:rsid w:val="004E6D71"/>
    <w:rsid w:val="004F578B"/>
    <w:rsid w:val="00502819"/>
    <w:rsid w:val="0050334D"/>
    <w:rsid w:val="0050681F"/>
    <w:rsid w:val="00507677"/>
    <w:rsid w:val="005238FE"/>
    <w:rsid w:val="00527D50"/>
    <w:rsid w:val="00527F36"/>
    <w:rsid w:val="0054111A"/>
    <w:rsid w:val="00541B83"/>
    <w:rsid w:val="0055096A"/>
    <w:rsid w:val="005517D0"/>
    <w:rsid w:val="0055604A"/>
    <w:rsid w:val="00560391"/>
    <w:rsid w:val="00566BCC"/>
    <w:rsid w:val="005832F3"/>
    <w:rsid w:val="005B47FD"/>
    <w:rsid w:val="005C24C4"/>
    <w:rsid w:val="005C63FA"/>
    <w:rsid w:val="005D28B0"/>
    <w:rsid w:val="005D2EFC"/>
    <w:rsid w:val="005E20A1"/>
    <w:rsid w:val="00602F1D"/>
    <w:rsid w:val="00616D94"/>
    <w:rsid w:val="0062662F"/>
    <w:rsid w:val="00627B33"/>
    <w:rsid w:val="00633FAD"/>
    <w:rsid w:val="006344E4"/>
    <w:rsid w:val="0064465B"/>
    <w:rsid w:val="00662239"/>
    <w:rsid w:val="00665EA5"/>
    <w:rsid w:val="00667B1D"/>
    <w:rsid w:val="006832B7"/>
    <w:rsid w:val="00691DBA"/>
    <w:rsid w:val="00696ACE"/>
    <w:rsid w:val="006A65FA"/>
    <w:rsid w:val="006A6AC7"/>
    <w:rsid w:val="006C3641"/>
    <w:rsid w:val="006C6E9C"/>
    <w:rsid w:val="006D7073"/>
    <w:rsid w:val="006F26E4"/>
    <w:rsid w:val="006F392B"/>
    <w:rsid w:val="00732422"/>
    <w:rsid w:val="007447C2"/>
    <w:rsid w:val="007449B4"/>
    <w:rsid w:val="007464D8"/>
    <w:rsid w:val="00747F03"/>
    <w:rsid w:val="00752E3D"/>
    <w:rsid w:val="007606C8"/>
    <w:rsid w:val="00763559"/>
    <w:rsid w:val="007639F1"/>
    <w:rsid w:val="00764623"/>
    <w:rsid w:val="00767075"/>
    <w:rsid w:val="00770A49"/>
    <w:rsid w:val="00777B0A"/>
    <w:rsid w:val="00777E67"/>
    <w:rsid w:val="00785285"/>
    <w:rsid w:val="00786E56"/>
    <w:rsid w:val="007935A7"/>
    <w:rsid w:val="007A008A"/>
    <w:rsid w:val="007A34DE"/>
    <w:rsid w:val="007A610F"/>
    <w:rsid w:val="007B03F5"/>
    <w:rsid w:val="007B19BF"/>
    <w:rsid w:val="007B4020"/>
    <w:rsid w:val="007C069E"/>
    <w:rsid w:val="007C36F0"/>
    <w:rsid w:val="007C581B"/>
    <w:rsid w:val="007C6EEC"/>
    <w:rsid w:val="007D02E3"/>
    <w:rsid w:val="007D1851"/>
    <w:rsid w:val="007D77EA"/>
    <w:rsid w:val="007E3CC4"/>
    <w:rsid w:val="007E5CC8"/>
    <w:rsid w:val="007E77D5"/>
    <w:rsid w:val="007F1FD5"/>
    <w:rsid w:val="007F423D"/>
    <w:rsid w:val="008028FD"/>
    <w:rsid w:val="00807E23"/>
    <w:rsid w:val="0081075F"/>
    <w:rsid w:val="008134AD"/>
    <w:rsid w:val="00817DA1"/>
    <w:rsid w:val="0082758C"/>
    <w:rsid w:val="0083033E"/>
    <w:rsid w:val="00832830"/>
    <w:rsid w:val="00833D2E"/>
    <w:rsid w:val="00834478"/>
    <w:rsid w:val="008352BE"/>
    <w:rsid w:val="008472B0"/>
    <w:rsid w:val="0085610D"/>
    <w:rsid w:val="00861CB1"/>
    <w:rsid w:val="008649BB"/>
    <w:rsid w:val="00866FF1"/>
    <w:rsid w:val="00872F3A"/>
    <w:rsid w:val="00873C8F"/>
    <w:rsid w:val="00876318"/>
    <w:rsid w:val="00881115"/>
    <w:rsid w:val="0088621A"/>
    <w:rsid w:val="00886A9F"/>
    <w:rsid w:val="008971DD"/>
    <w:rsid w:val="008979D1"/>
    <w:rsid w:val="008A35A7"/>
    <w:rsid w:val="008B2FCC"/>
    <w:rsid w:val="008B3A02"/>
    <w:rsid w:val="008B5681"/>
    <w:rsid w:val="008B57F6"/>
    <w:rsid w:val="008C1186"/>
    <w:rsid w:val="008C4593"/>
    <w:rsid w:val="008C73A1"/>
    <w:rsid w:val="008D2937"/>
    <w:rsid w:val="008D389D"/>
    <w:rsid w:val="008E4298"/>
    <w:rsid w:val="008F40DD"/>
    <w:rsid w:val="00910D42"/>
    <w:rsid w:val="0092369F"/>
    <w:rsid w:val="00927A52"/>
    <w:rsid w:val="00930D10"/>
    <w:rsid w:val="00933171"/>
    <w:rsid w:val="00936048"/>
    <w:rsid w:val="0093642D"/>
    <w:rsid w:val="0094798B"/>
    <w:rsid w:val="00950C51"/>
    <w:rsid w:val="00953C8C"/>
    <w:rsid w:val="00957D31"/>
    <w:rsid w:val="00957E1C"/>
    <w:rsid w:val="00961128"/>
    <w:rsid w:val="009619DA"/>
    <w:rsid w:val="009663F8"/>
    <w:rsid w:val="00966E07"/>
    <w:rsid w:val="009775E4"/>
    <w:rsid w:val="009824D6"/>
    <w:rsid w:val="00984AE4"/>
    <w:rsid w:val="0099164A"/>
    <w:rsid w:val="00996ADE"/>
    <w:rsid w:val="0099757B"/>
    <w:rsid w:val="009A03C4"/>
    <w:rsid w:val="009A1D7E"/>
    <w:rsid w:val="009A5495"/>
    <w:rsid w:val="009A67C3"/>
    <w:rsid w:val="009A78DF"/>
    <w:rsid w:val="009B2ADB"/>
    <w:rsid w:val="009B2FC9"/>
    <w:rsid w:val="009D039D"/>
    <w:rsid w:val="009D68BB"/>
    <w:rsid w:val="009D6F49"/>
    <w:rsid w:val="009E2783"/>
    <w:rsid w:val="009E65A0"/>
    <w:rsid w:val="009E7CFF"/>
    <w:rsid w:val="009F2572"/>
    <w:rsid w:val="00A0181F"/>
    <w:rsid w:val="00A02ADE"/>
    <w:rsid w:val="00A03885"/>
    <w:rsid w:val="00A04698"/>
    <w:rsid w:val="00A05391"/>
    <w:rsid w:val="00A11386"/>
    <w:rsid w:val="00A13D89"/>
    <w:rsid w:val="00A1795A"/>
    <w:rsid w:val="00A219CF"/>
    <w:rsid w:val="00A25BF2"/>
    <w:rsid w:val="00A335A7"/>
    <w:rsid w:val="00A368D3"/>
    <w:rsid w:val="00A37E88"/>
    <w:rsid w:val="00A57949"/>
    <w:rsid w:val="00A60BB4"/>
    <w:rsid w:val="00A61CAD"/>
    <w:rsid w:val="00A72E3E"/>
    <w:rsid w:val="00A81D6B"/>
    <w:rsid w:val="00A86A18"/>
    <w:rsid w:val="00A915B4"/>
    <w:rsid w:val="00AA02B2"/>
    <w:rsid w:val="00AA342C"/>
    <w:rsid w:val="00AB07E6"/>
    <w:rsid w:val="00AB0BE1"/>
    <w:rsid w:val="00AB2182"/>
    <w:rsid w:val="00AB36AA"/>
    <w:rsid w:val="00AB6CB7"/>
    <w:rsid w:val="00AC03C8"/>
    <w:rsid w:val="00AD33B1"/>
    <w:rsid w:val="00AD5D2D"/>
    <w:rsid w:val="00AE0290"/>
    <w:rsid w:val="00AE105D"/>
    <w:rsid w:val="00AE1089"/>
    <w:rsid w:val="00AE1092"/>
    <w:rsid w:val="00AE3CEC"/>
    <w:rsid w:val="00AE680A"/>
    <w:rsid w:val="00AE69E3"/>
    <w:rsid w:val="00B025B0"/>
    <w:rsid w:val="00B0356D"/>
    <w:rsid w:val="00B05B9F"/>
    <w:rsid w:val="00B06230"/>
    <w:rsid w:val="00B148DA"/>
    <w:rsid w:val="00B20ADC"/>
    <w:rsid w:val="00B21BEB"/>
    <w:rsid w:val="00B23123"/>
    <w:rsid w:val="00B2400B"/>
    <w:rsid w:val="00B43EC8"/>
    <w:rsid w:val="00B462AE"/>
    <w:rsid w:val="00B47356"/>
    <w:rsid w:val="00B50243"/>
    <w:rsid w:val="00B61B0C"/>
    <w:rsid w:val="00B64106"/>
    <w:rsid w:val="00B64E35"/>
    <w:rsid w:val="00B65169"/>
    <w:rsid w:val="00B7073E"/>
    <w:rsid w:val="00B71929"/>
    <w:rsid w:val="00B77305"/>
    <w:rsid w:val="00B8095D"/>
    <w:rsid w:val="00B81B71"/>
    <w:rsid w:val="00B83B3F"/>
    <w:rsid w:val="00B90686"/>
    <w:rsid w:val="00B952B8"/>
    <w:rsid w:val="00BA28BE"/>
    <w:rsid w:val="00BA304E"/>
    <w:rsid w:val="00BB05EB"/>
    <w:rsid w:val="00BC2EC3"/>
    <w:rsid w:val="00BC320C"/>
    <w:rsid w:val="00BC4E73"/>
    <w:rsid w:val="00BD1365"/>
    <w:rsid w:val="00BD5AC1"/>
    <w:rsid w:val="00BE05D1"/>
    <w:rsid w:val="00BE2036"/>
    <w:rsid w:val="00BE252D"/>
    <w:rsid w:val="00BE6143"/>
    <w:rsid w:val="00BE683C"/>
    <w:rsid w:val="00BE76D0"/>
    <w:rsid w:val="00BF16F5"/>
    <w:rsid w:val="00BF5401"/>
    <w:rsid w:val="00BF60A3"/>
    <w:rsid w:val="00BF6B91"/>
    <w:rsid w:val="00BF7FB0"/>
    <w:rsid w:val="00C01B05"/>
    <w:rsid w:val="00C03A11"/>
    <w:rsid w:val="00C06448"/>
    <w:rsid w:val="00C06687"/>
    <w:rsid w:val="00C107B3"/>
    <w:rsid w:val="00C16C8A"/>
    <w:rsid w:val="00C30C88"/>
    <w:rsid w:val="00C32DD7"/>
    <w:rsid w:val="00C34E14"/>
    <w:rsid w:val="00C43926"/>
    <w:rsid w:val="00C45AF0"/>
    <w:rsid w:val="00C467DE"/>
    <w:rsid w:val="00C61126"/>
    <w:rsid w:val="00C62290"/>
    <w:rsid w:val="00C636A8"/>
    <w:rsid w:val="00C63D2E"/>
    <w:rsid w:val="00C71DDF"/>
    <w:rsid w:val="00C72518"/>
    <w:rsid w:val="00C753C1"/>
    <w:rsid w:val="00C81E46"/>
    <w:rsid w:val="00C836C4"/>
    <w:rsid w:val="00C84F02"/>
    <w:rsid w:val="00C905A3"/>
    <w:rsid w:val="00C9446C"/>
    <w:rsid w:val="00CA1F66"/>
    <w:rsid w:val="00CA2AFD"/>
    <w:rsid w:val="00CB3919"/>
    <w:rsid w:val="00CD0B60"/>
    <w:rsid w:val="00CD5236"/>
    <w:rsid w:val="00CD7876"/>
    <w:rsid w:val="00CE44D8"/>
    <w:rsid w:val="00CE50B4"/>
    <w:rsid w:val="00CF3D42"/>
    <w:rsid w:val="00CF78B2"/>
    <w:rsid w:val="00D006A4"/>
    <w:rsid w:val="00D007E5"/>
    <w:rsid w:val="00D01A01"/>
    <w:rsid w:val="00D04C4F"/>
    <w:rsid w:val="00D1260B"/>
    <w:rsid w:val="00D12A36"/>
    <w:rsid w:val="00D234A4"/>
    <w:rsid w:val="00D30BE9"/>
    <w:rsid w:val="00D357CF"/>
    <w:rsid w:val="00D457B7"/>
    <w:rsid w:val="00D45F18"/>
    <w:rsid w:val="00D5755D"/>
    <w:rsid w:val="00D61092"/>
    <w:rsid w:val="00D63F0A"/>
    <w:rsid w:val="00D712F7"/>
    <w:rsid w:val="00D81E82"/>
    <w:rsid w:val="00D82682"/>
    <w:rsid w:val="00D91CE1"/>
    <w:rsid w:val="00DA3791"/>
    <w:rsid w:val="00DA4AE0"/>
    <w:rsid w:val="00DB160B"/>
    <w:rsid w:val="00DB459D"/>
    <w:rsid w:val="00DC779C"/>
    <w:rsid w:val="00DE29A4"/>
    <w:rsid w:val="00DE4DD8"/>
    <w:rsid w:val="00DE501A"/>
    <w:rsid w:val="00DF0B20"/>
    <w:rsid w:val="00DF4C34"/>
    <w:rsid w:val="00DF4E6A"/>
    <w:rsid w:val="00DF5A11"/>
    <w:rsid w:val="00E02F7E"/>
    <w:rsid w:val="00E048BF"/>
    <w:rsid w:val="00E12F6E"/>
    <w:rsid w:val="00E24429"/>
    <w:rsid w:val="00E30C5A"/>
    <w:rsid w:val="00E33CF0"/>
    <w:rsid w:val="00E370B5"/>
    <w:rsid w:val="00E4065D"/>
    <w:rsid w:val="00E44AA9"/>
    <w:rsid w:val="00E5562F"/>
    <w:rsid w:val="00E63A9A"/>
    <w:rsid w:val="00E64462"/>
    <w:rsid w:val="00E722D4"/>
    <w:rsid w:val="00E77CE9"/>
    <w:rsid w:val="00E82352"/>
    <w:rsid w:val="00E87908"/>
    <w:rsid w:val="00EA02CC"/>
    <w:rsid w:val="00EA295B"/>
    <w:rsid w:val="00EA45A1"/>
    <w:rsid w:val="00EB1BA4"/>
    <w:rsid w:val="00EB211B"/>
    <w:rsid w:val="00EB49A3"/>
    <w:rsid w:val="00EC3CBE"/>
    <w:rsid w:val="00EC658B"/>
    <w:rsid w:val="00EE5526"/>
    <w:rsid w:val="00EE5CCF"/>
    <w:rsid w:val="00EF7BFA"/>
    <w:rsid w:val="00F01485"/>
    <w:rsid w:val="00F07A8C"/>
    <w:rsid w:val="00F12CC3"/>
    <w:rsid w:val="00F16A1D"/>
    <w:rsid w:val="00F20AA4"/>
    <w:rsid w:val="00F22978"/>
    <w:rsid w:val="00F3251E"/>
    <w:rsid w:val="00F35EDD"/>
    <w:rsid w:val="00F379D7"/>
    <w:rsid w:val="00F51177"/>
    <w:rsid w:val="00F54B7E"/>
    <w:rsid w:val="00F54D71"/>
    <w:rsid w:val="00F60DAA"/>
    <w:rsid w:val="00F62B98"/>
    <w:rsid w:val="00F63AED"/>
    <w:rsid w:val="00F654FA"/>
    <w:rsid w:val="00F67052"/>
    <w:rsid w:val="00F70221"/>
    <w:rsid w:val="00F70591"/>
    <w:rsid w:val="00F770E6"/>
    <w:rsid w:val="00F817C2"/>
    <w:rsid w:val="00F84536"/>
    <w:rsid w:val="00F9251D"/>
    <w:rsid w:val="00F94DB6"/>
    <w:rsid w:val="00FB3E1A"/>
    <w:rsid w:val="00FC39D1"/>
    <w:rsid w:val="00FD1CAE"/>
    <w:rsid w:val="00FD5F3D"/>
    <w:rsid w:val="00FE01D0"/>
    <w:rsid w:val="00FE5471"/>
    <w:rsid w:val="00FF5E55"/>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A3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7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88066">
      <w:bodyDiv w:val="1"/>
      <w:marLeft w:val="0"/>
      <w:marRight w:val="0"/>
      <w:marTop w:val="0"/>
      <w:marBottom w:val="0"/>
      <w:divBdr>
        <w:top w:val="none" w:sz="0" w:space="0" w:color="auto"/>
        <w:left w:val="none" w:sz="0" w:space="0" w:color="auto"/>
        <w:bottom w:val="none" w:sz="0" w:space="0" w:color="auto"/>
        <w:right w:val="none" w:sz="0" w:space="0" w:color="auto"/>
      </w:divBdr>
    </w:div>
    <w:div w:id="12246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ionbanki.is/lifeyrir"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19" ma:contentTypeDescription="Create a new document." ma:contentTypeScope="" ma:versionID="9c5aae8737046e4336a1bf8853bd6cf2">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d4e631a932b23bda8f8cd8a12a17c2db"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1ff3a8-7f2c-4c86-877d-17e7ddd4cf3f">
      <Value>5</Value>
      <Value>11</Value>
      <Value>983</Value>
      <Value>163</Value>
    </TaxCatchAll>
    <lcf76f155ced4ddcb4097134ff3c332f xmlns="cd65d0aa-4042-4c25-a38c-457a1a446f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01F0F0C-B3C1-43A3-BE85-666FC781EEC4}"/>
</file>

<file path=customXml/itemProps2.xml><?xml version="1.0" encoding="utf-8"?>
<ds:datastoreItem xmlns:ds="http://schemas.openxmlformats.org/officeDocument/2006/customXml" ds:itemID="{AA4DC6AE-F5E0-4D2F-9701-9CE3BD195A9C}">
  <ds:schemaRefs>
    <ds:schemaRef ds:uri="http://schemas.microsoft.com/sharepoint/v3/contenttype/forms"/>
  </ds:schemaRefs>
</ds:datastoreItem>
</file>

<file path=customXml/itemProps3.xml><?xml version="1.0" encoding="utf-8"?>
<ds:datastoreItem xmlns:ds="http://schemas.openxmlformats.org/officeDocument/2006/customXml" ds:itemID="{6B3CA9AE-E140-4885-8FD3-FE922721DABD}">
  <ds:schemaRefs>
    <ds:schemaRef ds:uri="http://schemas.microsoft.com/office/2006/metadata/properties"/>
    <ds:schemaRef ds:uri="http://schemas.openxmlformats.org/package/2006/metadata/core-properties"/>
    <ds:schemaRef ds:uri="3a80df53-966d-4465-b537-67eff46a37b0"/>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Ásgerður Káradóttir</cp:lastModifiedBy>
  <cp:revision>4</cp:revision>
  <cp:lastPrinted>2019-10-09T11:32:00Z</cp:lastPrinted>
  <dcterms:created xsi:type="dcterms:W3CDTF">2025-12-15T14:30:00Z</dcterms:created>
  <dcterms:modified xsi:type="dcterms:W3CDTF">2025-12-15T14:37:00Z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TaxKeyword">
    <vt:lpwstr/>
  </property>
  <property fmtid="{D5CDD505-2E9C-101B-9397-08002B2CF9AE}" pid="10" name="glbTegundVVSkjals">
    <vt:lpwstr>983;#Lífeyrisauki-Samningur um viðbótarlífeyrissparnað|0dbeefc5-063b-4a51-9b02-ee79ee82df51</vt:lpwstr>
  </property>
  <property fmtid="{D5CDD505-2E9C-101B-9397-08002B2CF9AE}" pid="11" name="ContentTypeId">
    <vt:lpwstr>0x010100D599F716C145694D92C2B80FEBA452BF</vt:lpwstr>
  </property>
  <property fmtid="{D5CDD505-2E9C-101B-9397-08002B2CF9AE}" pid="12" name="glbStadaVV">
    <vt:lpwstr>5;#Skjal/umsókn í vinnslu|f0160a8e-60d0-41ad-995a-b5aa424730e4</vt:lpwstr>
  </property>
  <property fmtid="{D5CDD505-2E9C-101B-9397-08002B2CF9AE}" pid="13" name="glbEining">
    <vt:lpwstr/>
  </property>
  <property fmtid="{D5CDD505-2E9C-101B-9397-08002B2CF9AE}" pid="14" name="_dlc_DocIdItemGuid">
    <vt:lpwstr>4dc13e7a-17d9-430c-b171-d712c0b554aa</vt:lpwstr>
  </property>
  <property fmtid="{D5CDD505-2E9C-101B-9397-08002B2CF9AE}" pid="15" name="glbSkjalalykill">
    <vt:lpwstr>163;#Ávöxtun (23.2.2)|b16c28c1-457d-415b-88f8-13ca2c7d1623</vt:lpwstr>
  </property>
  <property fmtid="{D5CDD505-2E9C-101B-9397-08002B2CF9AE}" pid="16" name="WorkflowChangePath">
    <vt:lpwstr>fe129b94-708f-41ce-9e11-080c4ab001b1,17;fe129b94-708f-41ce-9e11-080c4ab001b1,22;fe129b94-708f-41ce-9e11-080c4ab001b1,27;fe129b94-708f-41ce-9e11-080c4ab001b1,32;fe129b94-708f-41ce-9e11-080c4ab001b1,37;fe129b94-708f-41ce-9e11-080c4ab001b1,45;fe129b94-708f-4fe129b94-708f-41ce-9e11-080c4ab001b1,141;fe129b94-708f-41ce-9e11-080c4ab001b1,146;fe129b94-708f-41ce-9e11-080c4ab001b1,151;fe129b94-708f-41ce-9e11-080c4ab001b1,156;fe129b94-708f-41ce-9e11-080c4ab001b1,160;</vt:lpwstr>
  </property>
  <property fmtid="{D5CDD505-2E9C-101B-9397-08002B2CF9AE}" pid="17" name="glbGeymsluaaetlun">
    <vt:lpwstr>11;#Lokadags +7 ár|6780ba3d-ef1f-4052-94ba-8da1c46d2c94</vt:lpwstr>
  </property>
  <property fmtid="{D5CDD505-2E9C-101B-9397-08002B2CF9AE}" pid="18" name="Tengist Kerfi">
    <vt:lpwstr>Ytrivefur</vt:lpwstr>
  </property>
  <property fmtid="{D5CDD505-2E9C-101B-9397-08002B2CF9AE}" pid="19" name="glbLand">
    <vt:lpwstr/>
  </property>
  <property fmtid="{D5CDD505-2E9C-101B-9397-08002B2CF9AE}" pid="20" name="ValdaVistun">
    <vt:lpwstr/>
  </property>
  <property fmtid="{D5CDD505-2E9C-101B-9397-08002B2CF9AE}" pid="21" name="glbLananumer">
    <vt:lpwstr/>
  </property>
  <property fmtid="{D5CDD505-2E9C-101B-9397-08002B2CF9AE}" pid="22" name="glbTilvisun">
    <vt:lpwstr/>
  </property>
  <property fmtid="{D5CDD505-2E9C-101B-9397-08002B2CF9AE}" pid="23" name="glbLanveitandi">
    <vt:lpwstr/>
  </property>
</Properties>
</file>