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Look w:val="04A0" w:firstRow="1" w:lastRow="0" w:firstColumn="1" w:lastColumn="0" w:noHBand="0" w:noVBand="1"/>
      </w:tblPr>
      <w:tblGrid>
        <w:gridCol w:w="7566"/>
        <w:gridCol w:w="2298"/>
      </w:tblGrid>
      <w:tr w:rsidR="00E84306" w:rsidRPr="00F9478A" w14:paraId="5560781B" w14:textId="77777777">
        <w:tc>
          <w:tcPr>
            <w:tcW w:w="3835" w:type="pct"/>
          </w:tcPr>
          <w:p w14:paraId="55607819" w14:textId="77777777" w:rsidR="00E84306" w:rsidRPr="00F9478A" w:rsidRDefault="00E84306">
            <w:pPr>
              <w:rPr>
                <w:rFonts w:ascii="Malgun Gothic" w:eastAsia="Malgun Gothic"/>
                <w:b/>
                <w:color w:val="19488C"/>
                <w:spacing w:val="20"/>
                <w:kern w:val="28"/>
                <w:lang w:val="en-US"/>
              </w:rPr>
            </w:pPr>
            <w:r w:rsidRPr="00F9478A">
              <w:rPr>
                <w:rFonts w:ascii="Arial" w:hAnsi="Arial"/>
                <w:b/>
                <w:color w:val="19488C"/>
                <w:spacing w:val="20"/>
                <w:kern w:val="28"/>
                <w:sz w:val="28"/>
                <w:lang w:val="en-US"/>
              </w:rPr>
              <w:t xml:space="preserve">Arion </w:t>
            </w:r>
            <w:r w:rsidR="00972AE3" w:rsidRPr="00F9478A">
              <w:rPr>
                <w:rFonts w:ascii="Arial" w:hAnsi="Arial"/>
                <w:b/>
                <w:color w:val="19488C"/>
                <w:spacing w:val="20"/>
                <w:kern w:val="28"/>
                <w:sz w:val="28"/>
                <w:lang w:val="en-US"/>
              </w:rPr>
              <w:t>Supplementary Savings</w:t>
            </w:r>
            <w:r w:rsidRPr="00F9478A">
              <w:rPr>
                <w:rFonts w:ascii="Arial" w:hAnsi="Arial"/>
                <w:b/>
                <w:color w:val="19488C"/>
                <w:spacing w:val="20"/>
                <w:kern w:val="28"/>
                <w:sz w:val="28"/>
                <w:lang w:val="en-US"/>
              </w:rPr>
              <w:t>- Lífeyrisauki</w:t>
            </w:r>
          </w:p>
        </w:tc>
        <w:tc>
          <w:tcPr>
            <w:tcW w:w="1165" w:type="pct"/>
          </w:tcPr>
          <w:p w14:paraId="5560781A" w14:textId="77777777" w:rsidR="00E84306" w:rsidRPr="00F9478A" w:rsidRDefault="009C63C9">
            <w:pPr>
              <w:tabs>
                <w:tab w:val="left" w:pos="646"/>
              </w:tabs>
              <w:jc w:val="right"/>
              <w:rPr>
                <w:sz w:val="20"/>
                <w:lang w:val="en-US"/>
              </w:rPr>
            </w:pPr>
            <w:r w:rsidRPr="00F9478A">
              <w:rPr>
                <w:noProof/>
                <w:snapToGrid/>
                <w:lang w:val="en-US"/>
              </w:rPr>
              <w:drawing>
                <wp:anchor distT="0" distB="0" distL="114300" distR="114300" simplePos="0" relativeHeight="251658240" behindDoc="1" locked="0" layoutInCell="1" allowOverlap="1" wp14:anchorId="556078C1" wp14:editId="556078C2">
                  <wp:simplePos x="0" y="0"/>
                  <wp:positionH relativeFrom="column">
                    <wp:posOffset>247650</wp:posOffset>
                  </wp:positionH>
                  <wp:positionV relativeFrom="page">
                    <wp:posOffset>-2540</wp:posOffset>
                  </wp:positionV>
                  <wp:extent cx="1144905" cy="2482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11794" t="30518" r="12254" b="33659"/>
                          <a:stretch>
                            <a:fillRect/>
                          </a:stretch>
                        </pic:blipFill>
                        <pic:spPr bwMode="auto">
                          <a:xfrm>
                            <a:off x="0" y="0"/>
                            <a:ext cx="1144905" cy="2482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84306" w:rsidRPr="00F9478A" w14:paraId="5560781E" w14:textId="77777777">
        <w:trPr>
          <w:trHeight w:val="397"/>
        </w:trPr>
        <w:tc>
          <w:tcPr>
            <w:tcW w:w="3835" w:type="pct"/>
            <w:vAlign w:val="center"/>
          </w:tcPr>
          <w:p w14:paraId="5560781C" w14:textId="77777777" w:rsidR="00E84306" w:rsidRPr="00F9478A" w:rsidRDefault="00972AE3">
            <w:pPr>
              <w:rPr>
                <w:rFonts w:ascii="Malgun Gothic" w:eastAsia="Malgun Gothic"/>
                <w:color w:val="19488C"/>
                <w:spacing w:val="15"/>
                <w:sz w:val="22"/>
                <w:lang w:val="en-US"/>
              </w:rPr>
            </w:pPr>
            <w:r w:rsidRPr="00F9478A">
              <w:rPr>
                <w:rFonts w:ascii="Arial" w:hAnsi="Arial"/>
                <w:color w:val="19488C"/>
                <w:spacing w:val="15"/>
                <w:lang w:val="en-US"/>
              </w:rPr>
              <w:t>Agreement on supplementary savings</w:t>
            </w:r>
          </w:p>
        </w:tc>
        <w:tc>
          <w:tcPr>
            <w:tcW w:w="1165" w:type="pct"/>
            <w:vAlign w:val="bottom"/>
          </w:tcPr>
          <w:p w14:paraId="5560781D" w14:textId="77777777" w:rsidR="00E84306" w:rsidRPr="00F9478A" w:rsidRDefault="00E84306">
            <w:pPr>
              <w:jc w:val="right"/>
              <w:rPr>
                <w:sz w:val="20"/>
                <w:lang w:val="en-US"/>
              </w:rPr>
            </w:pPr>
          </w:p>
        </w:tc>
      </w:tr>
    </w:tbl>
    <w:p w14:paraId="5560781F" w14:textId="77777777" w:rsidR="00E84306" w:rsidRPr="00C4105D" w:rsidRDefault="00E84306">
      <w:pPr>
        <w:rPr>
          <w:rStyle w:val="SubtleEmphasis"/>
          <w:sz w:val="12"/>
          <w:szCs w:val="12"/>
          <w:lang w:val="en-US"/>
        </w:rPr>
      </w:pPr>
    </w:p>
    <w:p w14:paraId="55607820" w14:textId="77777777" w:rsidR="00E84306" w:rsidRPr="00F9478A" w:rsidRDefault="00972AE3">
      <w:pPr>
        <w:jc w:val="right"/>
        <w:rPr>
          <w:sz w:val="8"/>
          <w:lang w:val="en-US"/>
        </w:rPr>
      </w:pPr>
      <w:r w:rsidRPr="00F9478A">
        <w:rPr>
          <w:rStyle w:val="SubtleEmphasis"/>
          <w:lang w:val="en-US"/>
        </w:rPr>
        <w:t>Acc. no.</w:t>
      </w:r>
      <w:r w:rsidR="00E84306" w:rsidRPr="00F9478A">
        <w:rPr>
          <w:rStyle w:val="SubtleEmphasis"/>
          <w:lang w:val="en-US"/>
        </w:rPr>
        <w:t xml:space="preserve"> 329-26-001080, </w:t>
      </w:r>
      <w:r w:rsidRPr="00F9478A">
        <w:rPr>
          <w:rStyle w:val="SubtleEmphasis"/>
          <w:lang w:val="en-US"/>
        </w:rPr>
        <w:t>ID-No.</w:t>
      </w:r>
      <w:r w:rsidR="00E84306" w:rsidRPr="00F9478A">
        <w:rPr>
          <w:rStyle w:val="SubtleEmphasis"/>
          <w:lang w:val="en-US"/>
        </w:rPr>
        <w:t xml:space="preserve"> 640699-9069, lsjnr. 286</w:t>
      </w:r>
    </w:p>
    <w:p w14:paraId="55607821" w14:textId="77777777" w:rsidR="00E84306" w:rsidRPr="005204BD" w:rsidRDefault="00E84306">
      <w:pPr>
        <w:rPr>
          <w:rStyle w:val="SubtleEmphasis"/>
          <w:sz w:val="8"/>
          <w:szCs w:val="8"/>
          <w:lang w:val="en-US"/>
        </w:rPr>
      </w:pPr>
    </w:p>
    <w:p w14:paraId="55607822" w14:textId="77777777" w:rsidR="00E84306" w:rsidRPr="00F9478A" w:rsidRDefault="00E84306">
      <w:pPr>
        <w:jc w:val="both"/>
        <w:rPr>
          <w:rStyle w:val="SubtleEmphasis"/>
          <w:b/>
          <w:lang w:val="en-US"/>
        </w:rPr>
      </w:pPr>
      <w:r w:rsidRPr="00F9478A">
        <w:rPr>
          <w:rStyle w:val="SubtleEmphasis"/>
          <w:b/>
          <w:lang w:val="en-US"/>
        </w:rPr>
        <w:t>The undersigned beneficiary and Lífeyrisauki, representing Arion Bank hf, hereby enter into the following agreement on supplementary savings.</w:t>
      </w:r>
    </w:p>
    <w:p w14:paraId="55607823" w14:textId="77777777" w:rsidR="00E84306" w:rsidRPr="00F9478A" w:rsidRDefault="00E84306">
      <w:pPr>
        <w:jc w:val="both"/>
        <w:rPr>
          <w:b/>
          <w:sz w:val="10"/>
          <w:lang w:val="en-US"/>
        </w:rPr>
      </w:pPr>
    </w:p>
    <w:tbl>
      <w:tblPr>
        <w:tblW w:w="5000" w:type="pct"/>
        <w:tblLayout w:type="fixed"/>
        <w:tblLook w:val="04A0" w:firstRow="1" w:lastRow="0" w:firstColumn="1" w:lastColumn="0" w:noHBand="0" w:noVBand="1"/>
      </w:tblPr>
      <w:tblGrid>
        <w:gridCol w:w="7096"/>
        <w:gridCol w:w="278"/>
        <w:gridCol w:w="2490"/>
      </w:tblGrid>
      <w:tr w:rsidR="00E84306" w:rsidRPr="00F9478A" w14:paraId="55607827" w14:textId="77777777">
        <w:trPr>
          <w:trHeight w:val="283"/>
        </w:trPr>
        <w:tc>
          <w:tcPr>
            <w:tcW w:w="3597" w:type="pct"/>
            <w:tcBorders>
              <w:bottom w:val="single" w:sz="2" w:space="0" w:color="auto"/>
            </w:tcBorders>
            <w:vAlign w:val="bottom"/>
          </w:tcPr>
          <w:p w14:paraId="55607824" w14:textId="44B0133A" w:rsidR="00E84306" w:rsidRPr="00F9478A" w:rsidRDefault="00A02422">
            <w:pPr>
              <w:rPr>
                <w:rStyle w:val="SubtleEmphasis"/>
                <w:lang w:val="en-US"/>
              </w:rPr>
            </w:pPr>
            <w:r>
              <w:rPr>
                <w:rStyle w:val="SubtleEmphasis"/>
                <w:lang w:val="en-US"/>
              </w:rPr>
              <w:fldChar w:fldCharType="begin">
                <w:ffData>
                  <w:name w:val="NAFN1"/>
                  <w:enabled/>
                  <w:calcOnExit/>
                  <w:textInput>
                    <w:maxLength w:val="50"/>
                  </w:textInput>
                </w:ffData>
              </w:fldChar>
            </w:r>
            <w:bookmarkStart w:id="0" w:name="NAFN1"/>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0"/>
          </w:p>
        </w:tc>
        <w:tc>
          <w:tcPr>
            <w:tcW w:w="141" w:type="pct"/>
            <w:vAlign w:val="bottom"/>
          </w:tcPr>
          <w:p w14:paraId="55607825" w14:textId="77777777" w:rsidR="00E84306" w:rsidRPr="00F9478A" w:rsidRDefault="00E84306">
            <w:pPr>
              <w:rPr>
                <w:rStyle w:val="SubtleEmphasis"/>
                <w:lang w:val="en-US"/>
              </w:rPr>
            </w:pPr>
          </w:p>
        </w:tc>
        <w:bookmarkStart w:id="1" w:name="KT1"/>
        <w:tc>
          <w:tcPr>
            <w:tcW w:w="1262" w:type="pct"/>
            <w:tcBorders>
              <w:bottom w:val="single" w:sz="2" w:space="0" w:color="auto"/>
            </w:tcBorders>
            <w:vAlign w:val="bottom"/>
          </w:tcPr>
          <w:p w14:paraId="55607826" w14:textId="77777777" w:rsidR="00E84306" w:rsidRPr="00F9478A" w:rsidRDefault="00E84306">
            <w:pPr>
              <w:rPr>
                <w:rStyle w:val="SubtleEmphasis"/>
                <w:lang w:val="en-US"/>
              </w:rPr>
            </w:pPr>
            <w:r w:rsidRPr="00F9478A">
              <w:rPr>
                <w:rStyle w:val="SubtleEmphasis"/>
                <w:lang w:val="en-US"/>
              </w:rPr>
              <w:fldChar w:fldCharType="begin">
                <w:ffData>
                  <w:name w:val="KT1"/>
                  <w:enabled/>
                  <w:calcOnExit w:val="0"/>
                  <w:textInput>
                    <w:type w:val="number"/>
                    <w:format w:val="######-####"/>
                  </w:textInput>
                </w:ffData>
              </w:fldChar>
            </w:r>
            <w:r w:rsidRPr="00F9478A">
              <w:rPr>
                <w:rStyle w:val="SubtleEmphasis"/>
                <w:lang w:val="en-US"/>
              </w:rPr>
              <w:instrText xml:space="preserve"> FORMTEXT </w:instrText>
            </w:r>
            <w:r w:rsidRPr="00F9478A">
              <w:rPr>
                <w:rStyle w:val="SubtleEmphasis"/>
                <w:lang w:val="en-US"/>
              </w:rPr>
            </w:r>
            <w:r w:rsidRPr="00F9478A">
              <w:rPr>
                <w:rStyle w:val="SubtleEmphasis"/>
                <w:lang w:val="en-US"/>
              </w:rPr>
              <w:fldChar w:fldCharType="separate"/>
            </w:r>
            <w:r w:rsidRPr="00F9478A">
              <w:rPr>
                <w:rStyle w:val="SubtleEmphasis"/>
                <w:lang w:val="en-US"/>
              </w:rPr>
              <w:t> </w:t>
            </w:r>
            <w:r w:rsidRPr="00F9478A">
              <w:rPr>
                <w:rStyle w:val="SubtleEmphasis"/>
                <w:lang w:val="en-US"/>
              </w:rPr>
              <w:t> </w:t>
            </w:r>
            <w:r w:rsidRPr="00F9478A">
              <w:rPr>
                <w:rStyle w:val="SubtleEmphasis"/>
                <w:lang w:val="en-US"/>
              </w:rPr>
              <w:t> </w:t>
            </w:r>
            <w:r w:rsidRPr="00F9478A">
              <w:rPr>
                <w:rStyle w:val="SubtleEmphasis"/>
                <w:lang w:val="en-US"/>
              </w:rPr>
              <w:t> </w:t>
            </w:r>
            <w:r w:rsidRPr="00F9478A">
              <w:rPr>
                <w:rStyle w:val="SubtleEmphasis"/>
                <w:lang w:val="en-US"/>
              </w:rPr>
              <w:t> </w:t>
            </w:r>
            <w:r w:rsidRPr="00F9478A">
              <w:rPr>
                <w:rStyle w:val="SubtleEmphasis"/>
                <w:lang w:val="en-US"/>
              </w:rPr>
              <w:fldChar w:fldCharType="end"/>
            </w:r>
            <w:bookmarkEnd w:id="1"/>
          </w:p>
        </w:tc>
      </w:tr>
      <w:tr w:rsidR="00E84306" w:rsidRPr="00F9478A" w14:paraId="5560782B" w14:textId="77777777">
        <w:tc>
          <w:tcPr>
            <w:tcW w:w="3597" w:type="pct"/>
            <w:tcBorders>
              <w:top w:val="single" w:sz="2" w:space="0" w:color="auto"/>
            </w:tcBorders>
          </w:tcPr>
          <w:p w14:paraId="55607828" w14:textId="77777777" w:rsidR="00E84306" w:rsidRPr="00F9478A" w:rsidRDefault="00E84306">
            <w:pPr>
              <w:rPr>
                <w:lang w:val="en-US"/>
              </w:rPr>
            </w:pPr>
            <w:r w:rsidRPr="00F9478A">
              <w:rPr>
                <w:sz w:val="14"/>
                <w:lang w:val="en-US"/>
              </w:rPr>
              <w:t>Name of beneficiary</w:t>
            </w:r>
            <w:r w:rsidRPr="00F9478A">
              <w:rPr>
                <w:b/>
                <w:sz w:val="14"/>
                <w:lang w:val="en-US"/>
              </w:rPr>
              <w:t xml:space="preserve"> </w:t>
            </w:r>
          </w:p>
        </w:tc>
        <w:tc>
          <w:tcPr>
            <w:tcW w:w="141" w:type="pct"/>
          </w:tcPr>
          <w:p w14:paraId="55607829" w14:textId="77777777" w:rsidR="00E84306" w:rsidRPr="00F9478A" w:rsidRDefault="00E84306">
            <w:pPr>
              <w:rPr>
                <w:b/>
                <w:sz w:val="14"/>
                <w:lang w:val="en-US"/>
              </w:rPr>
            </w:pPr>
          </w:p>
        </w:tc>
        <w:tc>
          <w:tcPr>
            <w:tcW w:w="1262" w:type="pct"/>
            <w:tcBorders>
              <w:top w:val="single" w:sz="2" w:space="0" w:color="auto"/>
            </w:tcBorders>
          </w:tcPr>
          <w:p w14:paraId="5560782A" w14:textId="77777777" w:rsidR="00E84306" w:rsidRPr="00F9478A" w:rsidRDefault="00E84306">
            <w:pPr>
              <w:rPr>
                <w:lang w:val="en-US"/>
              </w:rPr>
            </w:pPr>
            <w:r w:rsidRPr="00F9478A">
              <w:rPr>
                <w:sz w:val="14"/>
                <w:lang w:val="en-US"/>
              </w:rPr>
              <w:t>ID-No. of beneficiary</w:t>
            </w:r>
          </w:p>
        </w:tc>
      </w:tr>
      <w:tr w:rsidR="00E84306" w:rsidRPr="00F9478A" w14:paraId="5560782F" w14:textId="77777777" w:rsidTr="005204BD">
        <w:trPr>
          <w:trHeight w:val="397"/>
        </w:trPr>
        <w:tc>
          <w:tcPr>
            <w:tcW w:w="3597" w:type="pct"/>
            <w:tcBorders>
              <w:bottom w:val="single" w:sz="2" w:space="0" w:color="auto"/>
            </w:tcBorders>
            <w:vAlign w:val="bottom"/>
          </w:tcPr>
          <w:p w14:paraId="5560782C" w14:textId="55789185" w:rsidR="00E84306" w:rsidRPr="00F9478A" w:rsidRDefault="00A02422">
            <w:pPr>
              <w:rPr>
                <w:rStyle w:val="SubtleEmphasis"/>
                <w:lang w:val="en-US"/>
              </w:rPr>
            </w:pPr>
            <w:r>
              <w:rPr>
                <w:rStyle w:val="SubtleEmphasis"/>
                <w:lang w:val="en-US"/>
              </w:rPr>
              <w:fldChar w:fldCharType="begin">
                <w:ffData>
                  <w:name w:val="NAFN2"/>
                  <w:enabled/>
                  <w:calcOnExit w:val="0"/>
                  <w:textInput>
                    <w:maxLength w:val="50"/>
                  </w:textInput>
                </w:ffData>
              </w:fldChar>
            </w:r>
            <w:bookmarkStart w:id="2" w:name="NAFN2"/>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2"/>
          </w:p>
        </w:tc>
        <w:tc>
          <w:tcPr>
            <w:tcW w:w="141" w:type="pct"/>
            <w:vAlign w:val="bottom"/>
          </w:tcPr>
          <w:p w14:paraId="5560782D" w14:textId="77777777" w:rsidR="00E84306" w:rsidRPr="00F9478A" w:rsidRDefault="00E84306">
            <w:pPr>
              <w:rPr>
                <w:rStyle w:val="SubtleEmphasis"/>
                <w:lang w:val="en-US"/>
              </w:rPr>
            </w:pPr>
          </w:p>
        </w:tc>
        <w:tc>
          <w:tcPr>
            <w:tcW w:w="1262" w:type="pct"/>
            <w:tcBorders>
              <w:bottom w:val="single" w:sz="2" w:space="0" w:color="auto"/>
            </w:tcBorders>
            <w:vAlign w:val="bottom"/>
          </w:tcPr>
          <w:p w14:paraId="5560782E" w14:textId="45C7EB02" w:rsidR="00E84306" w:rsidRPr="00F9478A" w:rsidRDefault="00CF3AAB">
            <w:pPr>
              <w:rPr>
                <w:rStyle w:val="SubtleEmphasis"/>
                <w:lang w:val="en-US"/>
              </w:rPr>
            </w:pPr>
            <w:r>
              <w:rPr>
                <w:rStyle w:val="SubtleEmphasis"/>
                <w:lang w:val="en-US"/>
              </w:rPr>
              <w:fldChar w:fldCharType="begin">
                <w:ffData>
                  <w:name w:val="KT2"/>
                  <w:enabled/>
                  <w:calcOnExit w:val="0"/>
                  <w:textInput>
                    <w:type w:val="number"/>
                    <w:format w:val="######-####"/>
                  </w:textInput>
                </w:ffData>
              </w:fldChar>
            </w:r>
            <w:bookmarkStart w:id="3" w:name="KT2"/>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3"/>
          </w:p>
        </w:tc>
      </w:tr>
      <w:tr w:rsidR="00E84306" w:rsidRPr="00F9478A" w14:paraId="55607833" w14:textId="77777777">
        <w:tc>
          <w:tcPr>
            <w:tcW w:w="3597" w:type="pct"/>
            <w:tcBorders>
              <w:top w:val="single" w:sz="2" w:space="0" w:color="auto"/>
            </w:tcBorders>
          </w:tcPr>
          <w:p w14:paraId="55607830" w14:textId="77777777" w:rsidR="00E84306" w:rsidRPr="00F9478A" w:rsidRDefault="00E84306">
            <w:pPr>
              <w:rPr>
                <w:lang w:val="en-US"/>
              </w:rPr>
            </w:pPr>
            <w:r w:rsidRPr="00F9478A">
              <w:rPr>
                <w:sz w:val="14"/>
                <w:lang w:val="en-US"/>
              </w:rPr>
              <w:t>Name of employer</w:t>
            </w:r>
          </w:p>
        </w:tc>
        <w:tc>
          <w:tcPr>
            <w:tcW w:w="141" w:type="pct"/>
          </w:tcPr>
          <w:p w14:paraId="55607831" w14:textId="77777777" w:rsidR="00E84306" w:rsidRPr="00F9478A" w:rsidRDefault="00E84306">
            <w:pPr>
              <w:rPr>
                <w:b/>
                <w:sz w:val="14"/>
                <w:lang w:val="en-US"/>
              </w:rPr>
            </w:pPr>
          </w:p>
        </w:tc>
        <w:tc>
          <w:tcPr>
            <w:tcW w:w="1262" w:type="pct"/>
          </w:tcPr>
          <w:p w14:paraId="55607832" w14:textId="77777777" w:rsidR="00E84306" w:rsidRPr="00F9478A" w:rsidRDefault="00E84306">
            <w:pPr>
              <w:rPr>
                <w:lang w:val="en-US"/>
              </w:rPr>
            </w:pPr>
            <w:r w:rsidRPr="00F9478A">
              <w:rPr>
                <w:sz w:val="14"/>
                <w:lang w:val="en-US"/>
              </w:rPr>
              <w:t>ID-No. of employer</w:t>
            </w:r>
          </w:p>
        </w:tc>
      </w:tr>
    </w:tbl>
    <w:p w14:paraId="55607834" w14:textId="77777777" w:rsidR="00E84306" w:rsidRPr="00A02422" w:rsidRDefault="00E84306">
      <w:pPr>
        <w:rPr>
          <w:rStyle w:val="SubtleEmphasis"/>
          <w:sz w:val="14"/>
          <w:szCs w:val="20"/>
          <w:lang w:val="en-US"/>
        </w:rPr>
      </w:pPr>
    </w:p>
    <w:p w14:paraId="55607835" w14:textId="77777777" w:rsidR="00E84306" w:rsidRPr="00F9478A" w:rsidRDefault="00E84306">
      <w:pPr>
        <w:rPr>
          <w:rStyle w:val="SubtleEmphasis"/>
          <w:spacing w:val="20"/>
          <w:lang w:val="en-US"/>
        </w:rPr>
      </w:pPr>
      <w:r w:rsidRPr="00F9478A">
        <w:rPr>
          <w:spacing w:val="20"/>
          <w:sz w:val="18"/>
          <w:lang w:val="en-US"/>
        </w:rPr>
        <w:t>DECIDE HOW MUCH YOU WANT TO SAVE</w:t>
      </w:r>
    </w:p>
    <w:p w14:paraId="55607837" w14:textId="77777777" w:rsidR="00E84306" w:rsidRPr="00F9478A" w:rsidRDefault="00E84306">
      <w:pPr>
        <w:rPr>
          <w:rStyle w:val="SubtleEmphasis"/>
          <w:lang w:val="en-US"/>
        </w:rPr>
      </w:pPr>
      <w:r w:rsidRPr="00F9478A">
        <w:rPr>
          <w:sz w:val="18"/>
          <w:lang w:val="en-US"/>
        </w:rPr>
        <w:t xml:space="preserve">Choose how much of your salary you want to put into supplementary savings. </w:t>
      </w:r>
    </w:p>
    <w:p w14:paraId="55607838" w14:textId="77777777" w:rsidR="00E84306" w:rsidRPr="00A02422" w:rsidRDefault="00E84306">
      <w:pPr>
        <w:rPr>
          <w:rStyle w:val="SubtleEmphasis"/>
          <w:sz w:val="12"/>
          <w:szCs w:val="22"/>
          <w:lang w:val="en-US"/>
        </w:rPr>
      </w:pPr>
    </w:p>
    <w:tbl>
      <w:tblPr>
        <w:tblW w:w="0" w:type="auto"/>
        <w:tblBorders>
          <w:insideH w:val="single" w:sz="2" w:space="0" w:color="auto"/>
        </w:tblBorders>
        <w:tblLayout w:type="fixed"/>
        <w:tblLook w:val="04A0" w:firstRow="1" w:lastRow="0" w:firstColumn="1" w:lastColumn="0" w:noHBand="0" w:noVBand="1"/>
      </w:tblPr>
      <w:tblGrid>
        <w:gridCol w:w="306"/>
        <w:gridCol w:w="256"/>
        <w:gridCol w:w="2694"/>
      </w:tblGrid>
      <w:tr w:rsidR="00E84306" w:rsidRPr="00F9478A" w14:paraId="5560783C" w14:textId="77777777">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55607839" w14:textId="77777777" w:rsidR="00E84306" w:rsidRPr="00F9478A" w:rsidRDefault="00E84306">
            <w:pPr>
              <w:jc w:val="right"/>
              <w:rPr>
                <w:rStyle w:val="SubtleEmphasis"/>
                <w:lang w:val="en-US"/>
              </w:rPr>
            </w:pPr>
            <w:r w:rsidRPr="00F9478A">
              <w:rPr>
                <w:rStyle w:val="SubtleEmphasis"/>
                <w:lang w:val="en-US"/>
              </w:rPr>
              <w:fldChar w:fldCharType="begin">
                <w:ffData>
                  <w:name w:val="LAUN4PROS"/>
                  <w:enabled/>
                  <w:calcOnExit w:val="0"/>
                  <w:textInput>
                    <w:maxLength w:val="1"/>
                  </w:textInput>
                </w:ffData>
              </w:fldChar>
            </w:r>
            <w:r w:rsidRPr="00F9478A">
              <w:rPr>
                <w:rStyle w:val="SubtleEmphasis"/>
                <w:lang w:val="en-US"/>
              </w:rPr>
              <w:instrText xml:space="preserve"> FORMTEXT </w:instrText>
            </w:r>
            <w:r w:rsidRPr="00F9478A">
              <w:rPr>
                <w:rStyle w:val="SubtleEmphasis"/>
                <w:lang w:val="en-US"/>
              </w:rPr>
            </w:r>
            <w:r w:rsidRPr="00F9478A">
              <w:rPr>
                <w:rStyle w:val="SubtleEmphasis"/>
                <w:lang w:val="en-US"/>
              </w:rPr>
              <w:fldChar w:fldCharType="separate"/>
            </w:r>
            <w:r w:rsidRPr="00F9478A">
              <w:rPr>
                <w:rStyle w:val="SubtleEmphasis"/>
                <w:lang w:val="en-US"/>
              </w:rPr>
              <w:t> </w:t>
            </w:r>
            <w:r w:rsidRPr="00F9478A">
              <w:rPr>
                <w:rStyle w:val="SubtleEmphasis"/>
                <w:lang w:val="en-US"/>
              </w:rPr>
              <w:fldChar w:fldCharType="end"/>
            </w:r>
          </w:p>
        </w:tc>
        <w:tc>
          <w:tcPr>
            <w:tcW w:w="256" w:type="dxa"/>
            <w:tcBorders>
              <w:top w:val="nil"/>
              <w:left w:val="single" w:sz="4" w:space="0" w:color="auto"/>
              <w:bottom w:val="nil"/>
              <w:right w:val="nil"/>
            </w:tcBorders>
          </w:tcPr>
          <w:p w14:paraId="5560783A" w14:textId="77777777" w:rsidR="00E84306" w:rsidRPr="00F9478A" w:rsidRDefault="00E84306">
            <w:pPr>
              <w:rPr>
                <w:rStyle w:val="SubtleEmphasis"/>
                <w:sz w:val="12"/>
                <w:lang w:val="en-US"/>
              </w:rPr>
            </w:pPr>
          </w:p>
        </w:tc>
        <w:tc>
          <w:tcPr>
            <w:tcW w:w="2694" w:type="dxa"/>
            <w:tcBorders>
              <w:left w:val="nil"/>
            </w:tcBorders>
            <w:vAlign w:val="center"/>
          </w:tcPr>
          <w:p w14:paraId="5560783B" w14:textId="77777777" w:rsidR="00E84306" w:rsidRPr="00F9478A" w:rsidRDefault="00E84306">
            <w:pPr>
              <w:rPr>
                <w:rStyle w:val="SubtleEmphasis"/>
                <w:sz w:val="24"/>
                <w:lang w:val="en-US"/>
              </w:rPr>
            </w:pPr>
            <w:bookmarkStart w:id="4" w:name="LAUN4PROS"/>
            <w:r w:rsidRPr="00F9478A">
              <w:rPr>
                <w:sz w:val="18"/>
                <w:lang w:val="en-US"/>
              </w:rPr>
              <w:t>4% of salary</w:t>
            </w:r>
            <w:bookmarkEnd w:id="4"/>
          </w:p>
        </w:tc>
      </w:tr>
      <w:tr w:rsidR="00E84306" w:rsidRPr="00F9478A" w14:paraId="55607840" w14:textId="77777777">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5560783D" w14:textId="77777777" w:rsidR="00E84306" w:rsidRPr="00F9478A" w:rsidRDefault="00E84306">
            <w:pPr>
              <w:jc w:val="right"/>
              <w:rPr>
                <w:rStyle w:val="SubtleEmphasis"/>
                <w:lang w:val="en-US"/>
              </w:rPr>
            </w:pPr>
            <w:r w:rsidRPr="00F9478A">
              <w:rPr>
                <w:rStyle w:val="SubtleEmphasis"/>
                <w:lang w:val="en-US"/>
              </w:rPr>
              <w:fldChar w:fldCharType="begin">
                <w:ffData>
                  <w:name w:val="LAUN2PROS"/>
                  <w:enabled/>
                  <w:calcOnExit w:val="0"/>
                  <w:textInput>
                    <w:maxLength w:val="1"/>
                  </w:textInput>
                </w:ffData>
              </w:fldChar>
            </w:r>
            <w:r w:rsidRPr="00F9478A">
              <w:rPr>
                <w:rStyle w:val="SubtleEmphasis"/>
                <w:lang w:val="en-US"/>
              </w:rPr>
              <w:instrText xml:space="preserve"> FORMTEXT </w:instrText>
            </w:r>
            <w:r w:rsidRPr="00F9478A">
              <w:rPr>
                <w:rStyle w:val="SubtleEmphasis"/>
                <w:lang w:val="en-US"/>
              </w:rPr>
            </w:r>
            <w:r w:rsidRPr="00F9478A">
              <w:rPr>
                <w:rStyle w:val="SubtleEmphasis"/>
                <w:lang w:val="en-US"/>
              </w:rPr>
              <w:fldChar w:fldCharType="separate"/>
            </w:r>
            <w:r w:rsidRPr="00F9478A">
              <w:rPr>
                <w:rStyle w:val="SubtleEmphasis"/>
                <w:lang w:val="en-US"/>
              </w:rPr>
              <w:t> </w:t>
            </w:r>
            <w:r w:rsidRPr="00F9478A">
              <w:rPr>
                <w:rStyle w:val="SubtleEmphasis"/>
                <w:lang w:val="en-US"/>
              </w:rPr>
              <w:fldChar w:fldCharType="end"/>
            </w:r>
          </w:p>
        </w:tc>
        <w:tc>
          <w:tcPr>
            <w:tcW w:w="256" w:type="dxa"/>
            <w:tcBorders>
              <w:top w:val="nil"/>
              <w:left w:val="single" w:sz="4" w:space="0" w:color="auto"/>
              <w:bottom w:val="nil"/>
              <w:right w:val="nil"/>
            </w:tcBorders>
          </w:tcPr>
          <w:p w14:paraId="5560783E" w14:textId="77777777" w:rsidR="00E84306" w:rsidRPr="00F9478A" w:rsidRDefault="00E84306">
            <w:pPr>
              <w:rPr>
                <w:rStyle w:val="SubtleEmphasis"/>
                <w:sz w:val="12"/>
                <w:lang w:val="en-US"/>
              </w:rPr>
            </w:pPr>
          </w:p>
        </w:tc>
        <w:tc>
          <w:tcPr>
            <w:tcW w:w="2694" w:type="dxa"/>
            <w:tcBorders>
              <w:left w:val="nil"/>
            </w:tcBorders>
            <w:vAlign w:val="center"/>
          </w:tcPr>
          <w:p w14:paraId="5560783F" w14:textId="77777777" w:rsidR="00E84306" w:rsidRPr="00F9478A" w:rsidRDefault="00E84306">
            <w:pPr>
              <w:rPr>
                <w:rStyle w:val="SubtleEmphasis"/>
                <w:sz w:val="24"/>
                <w:lang w:val="en-US"/>
              </w:rPr>
            </w:pPr>
            <w:bookmarkStart w:id="5" w:name="LAUN2PROS"/>
            <w:r w:rsidRPr="00F9478A">
              <w:rPr>
                <w:rStyle w:val="SubtleEmphasis"/>
                <w:lang w:val="en-US"/>
              </w:rPr>
              <w:t>2% of salary</w:t>
            </w:r>
            <w:bookmarkEnd w:id="5"/>
          </w:p>
        </w:tc>
      </w:tr>
      <w:tr w:rsidR="00E84306" w:rsidRPr="00F9478A" w14:paraId="55607844" w14:textId="77777777">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55607841" w14:textId="77777777" w:rsidR="00E84306" w:rsidRPr="00F9478A" w:rsidRDefault="00E84306">
            <w:pPr>
              <w:jc w:val="right"/>
              <w:rPr>
                <w:rStyle w:val="SubtleEmphasis"/>
                <w:lang w:val="en-US"/>
              </w:rPr>
            </w:pPr>
            <w:r w:rsidRPr="00F9478A">
              <w:rPr>
                <w:rStyle w:val="SubtleEmphasis"/>
                <w:lang w:val="en-US"/>
              </w:rPr>
              <w:fldChar w:fldCharType="begin">
                <w:ffData>
                  <w:name w:val="LAUN_ANNAD"/>
                  <w:enabled/>
                  <w:calcOnExit w:val="0"/>
                  <w:textInput>
                    <w:maxLength w:val="1"/>
                  </w:textInput>
                </w:ffData>
              </w:fldChar>
            </w:r>
            <w:r w:rsidRPr="00F9478A">
              <w:rPr>
                <w:rStyle w:val="SubtleEmphasis"/>
                <w:lang w:val="en-US"/>
              </w:rPr>
              <w:instrText xml:space="preserve"> FORMTEXT </w:instrText>
            </w:r>
            <w:r w:rsidRPr="00F9478A">
              <w:rPr>
                <w:rStyle w:val="SubtleEmphasis"/>
                <w:lang w:val="en-US"/>
              </w:rPr>
            </w:r>
            <w:r w:rsidRPr="00F9478A">
              <w:rPr>
                <w:rStyle w:val="SubtleEmphasis"/>
                <w:lang w:val="en-US"/>
              </w:rPr>
              <w:fldChar w:fldCharType="separate"/>
            </w:r>
            <w:r w:rsidRPr="00F9478A">
              <w:rPr>
                <w:rStyle w:val="SubtleEmphasis"/>
                <w:lang w:val="en-US"/>
              </w:rPr>
              <w:t> </w:t>
            </w:r>
            <w:r w:rsidRPr="00F9478A">
              <w:rPr>
                <w:rStyle w:val="SubtleEmphasis"/>
                <w:lang w:val="en-US"/>
              </w:rPr>
              <w:fldChar w:fldCharType="end"/>
            </w:r>
          </w:p>
        </w:tc>
        <w:tc>
          <w:tcPr>
            <w:tcW w:w="256" w:type="dxa"/>
            <w:tcBorders>
              <w:top w:val="nil"/>
              <w:left w:val="single" w:sz="4" w:space="0" w:color="auto"/>
              <w:bottom w:val="nil"/>
              <w:right w:val="nil"/>
            </w:tcBorders>
          </w:tcPr>
          <w:p w14:paraId="55607842" w14:textId="77777777" w:rsidR="00E84306" w:rsidRPr="00F9478A" w:rsidRDefault="00E84306">
            <w:pPr>
              <w:rPr>
                <w:rStyle w:val="SubtleEmphasis"/>
                <w:sz w:val="12"/>
                <w:lang w:val="en-US"/>
              </w:rPr>
            </w:pPr>
          </w:p>
        </w:tc>
        <w:tc>
          <w:tcPr>
            <w:tcW w:w="2694" w:type="dxa"/>
            <w:tcBorders>
              <w:left w:val="nil"/>
            </w:tcBorders>
            <w:vAlign w:val="center"/>
          </w:tcPr>
          <w:p w14:paraId="55607843" w14:textId="77777777" w:rsidR="00E84306" w:rsidRPr="00F9478A" w:rsidRDefault="00E84306">
            <w:pPr>
              <w:rPr>
                <w:rStyle w:val="SubtleEmphasis"/>
                <w:sz w:val="24"/>
                <w:lang w:val="en-US"/>
              </w:rPr>
            </w:pPr>
            <w:bookmarkStart w:id="6" w:name="LAUN_ANNAD"/>
            <w:bookmarkStart w:id="7" w:name="LAUN_ANNAD_PROS"/>
            <w:r w:rsidRPr="00F9478A">
              <w:rPr>
                <w:rStyle w:val="SubtleEmphasis"/>
                <w:lang w:val="en-US"/>
              </w:rPr>
              <w:t xml:space="preserve">Other: </w:t>
            </w:r>
            <w:r w:rsidRPr="00F9478A">
              <w:rPr>
                <w:rStyle w:val="SubtleEmphasis"/>
                <w:lang w:val="en-US"/>
              </w:rPr>
              <w:fldChar w:fldCharType="begin">
                <w:ffData>
                  <w:name w:val="LAUN_ANNAD_PROS"/>
                  <w:enabled/>
                  <w:calcOnExit w:val="0"/>
                  <w:textInput/>
                </w:ffData>
              </w:fldChar>
            </w:r>
            <w:r w:rsidRPr="00F9478A">
              <w:rPr>
                <w:rStyle w:val="SubtleEmphasis"/>
                <w:lang w:val="en-US"/>
              </w:rPr>
              <w:instrText xml:space="preserve"> FORMTEXT </w:instrText>
            </w:r>
            <w:r w:rsidRPr="00F9478A">
              <w:rPr>
                <w:rStyle w:val="SubtleEmphasis"/>
                <w:lang w:val="en-US"/>
              </w:rPr>
            </w:r>
            <w:r w:rsidRPr="00F9478A">
              <w:rPr>
                <w:rStyle w:val="SubtleEmphasis"/>
                <w:lang w:val="en-US"/>
              </w:rPr>
              <w:fldChar w:fldCharType="separate"/>
            </w:r>
            <w:r w:rsidRPr="00F9478A">
              <w:rPr>
                <w:rStyle w:val="SubtleEmphasis"/>
                <w:lang w:val="en-US"/>
              </w:rPr>
              <w:t> </w:t>
            </w:r>
            <w:r w:rsidRPr="00F9478A">
              <w:rPr>
                <w:rStyle w:val="SubtleEmphasis"/>
                <w:lang w:val="en-US"/>
              </w:rPr>
              <w:t> </w:t>
            </w:r>
            <w:r w:rsidRPr="00F9478A">
              <w:rPr>
                <w:rStyle w:val="SubtleEmphasis"/>
                <w:lang w:val="en-US"/>
              </w:rPr>
              <w:t> </w:t>
            </w:r>
            <w:r w:rsidRPr="00F9478A">
              <w:rPr>
                <w:rStyle w:val="SubtleEmphasis"/>
                <w:lang w:val="en-US"/>
              </w:rPr>
              <w:t> </w:t>
            </w:r>
            <w:r w:rsidRPr="00F9478A">
              <w:rPr>
                <w:rStyle w:val="SubtleEmphasis"/>
                <w:lang w:val="en-US"/>
              </w:rPr>
              <w:t> </w:t>
            </w:r>
            <w:r w:rsidRPr="00F9478A">
              <w:rPr>
                <w:rStyle w:val="SubtleEmphasis"/>
                <w:lang w:val="en-US"/>
              </w:rPr>
              <w:fldChar w:fldCharType="end"/>
            </w:r>
            <w:bookmarkEnd w:id="6"/>
            <w:bookmarkEnd w:id="7"/>
          </w:p>
        </w:tc>
      </w:tr>
    </w:tbl>
    <w:p w14:paraId="55607845" w14:textId="77777777" w:rsidR="00E84306" w:rsidRPr="00C4105D" w:rsidRDefault="00E84306">
      <w:pPr>
        <w:rPr>
          <w:rStyle w:val="SubtleEmphasis"/>
          <w:sz w:val="16"/>
          <w:szCs w:val="22"/>
          <w:lang w:val="en-US"/>
        </w:rPr>
      </w:pPr>
    </w:p>
    <w:p w14:paraId="55607846" w14:textId="77777777" w:rsidR="00E84306" w:rsidRPr="00F9478A" w:rsidRDefault="00E84306">
      <w:pPr>
        <w:rPr>
          <w:rStyle w:val="SubtleEmphasis"/>
          <w:spacing w:val="20"/>
          <w:lang w:val="en-US"/>
        </w:rPr>
      </w:pPr>
      <w:r w:rsidRPr="00F9478A">
        <w:rPr>
          <w:spacing w:val="20"/>
          <w:sz w:val="18"/>
          <w:lang w:val="en-US"/>
        </w:rPr>
        <w:t>CHOOSE YOUR INVESTMENT PLAN</w:t>
      </w:r>
    </w:p>
    <w:p w14:paraId="55607848" w14:textId="77777777" w:rsidR="00E84306" w:rsidRPr="00F9478A" w:rsidRDefault="00E84306">
      <w:pPr>
        <w:rPr>
          <w:lang w:val="en-US"/>
        </w:rPr>
      </w:pPr>
      <w:r w:rsidRPr="00F9478A">
        <w:rPr>
          <w:rStyle w:val="SubtleEmphasis"/>
          <w:lang w:val="en-US"/>
        </w:rPr>
        <w:t>Your choice of investment plan now supersedes earlier choices of investment plan and may mean you transfer to a different investment plan if you choose Life Line (Ævilína). See Article 6 of the rules on Lífeyrisauki. Further information on investment plans, asset allocation and investment policy can be found on the Arion Bank’s website. The investment policy is reviewed at least once a year and may change according to changes in legislation and/or decisions made by the custodian.</w:t>
      </w:r>
    </w:p>
    <w:p w14:paraId="55607849" w14:textId="77777777" w:rsidR="00E84306" w:rsidRPr="00F9478A" w:rsidRDefault="00E84306">
      <w:pPr>
        <w:rPr>
          <w:rStyle w:val="SubtleEmphasis"/>
          <w:sz w:val="10"/>
          <w:lang w:val="en-US"/>
        </w:rPr>
      </w:pPr>
    </w:p>
    <w:p w14:paraId="5560784A" w14:textId="77777777" w:rsidR="00E84306" w:rsidRPr="00F9478A" w:rsidRDefault="00E84306">
      <w:pPr>
        <w:rPr>
          <w:rStyle w:val="SubtleEmphasis"/>
          <w:b/>
          <w:lang w:val="en-US"/>
        </w:rPr>
      </w:pPr>
      <w:r w:rsidRPr="00F9478A">
        <w:rPr>
          <w:b/>
          <w:sz w:val="18"/>
          <w:lang w:val="en-US"/>
        </w:rPr>
        <w:t>In Life Line you are automatically transferred between investment plans 1 to 5 as you get older.</w:t>
      </w:r>
    </w:p>
    <w:p w14:paraId="5560784B" w14:textId="77777777" w:rsidR="00E84306" w:rsidRPr="00F9478A" w:rsidRDefault="00E84306">
      <w:pPr>
        <w:rPr>
          <w:rStyle w:val="SubtleEmphasis"/>
          <w:sz w:val="10"/>
          <w:lang w:val="en-U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06"/>
        <w:gridCol w:w="261"/>
        <w:gridCol w:w="2835"/>
        <w:gridCol w:w="2268"/>
      </w:tblGrid>
      <w:tr w:rsidR="00E84306" w:rsidRPr="00F9478A" w14:paraId="55607850" w14:textId="77777777" w:rsidTr="00A74F9C">
        <w:trPr>
          <w:trHeight w:val="283"/>
        </w:trPr>
        <w:tc>
          <w:tcPr>
            <w:tcW w:w="306" w:type="dxa"/>
            <w:tcBorders>
              <w:top w:val="nil"/>
              <w:left w:val="nil"/>
              <w:bottom w:val="single" w:sz="4" w:space="0" w:color="auto"/>
              <w:right w:val="nil"/>
            </w:tcBorders>
            <w:vAlign w:val="center"/>
          </w:tcPr>
          <w:p w14:paraId="5560784C" w14:textId="77777777" w:rsidR="00E84306" w:rsidRPr="00F9478A" w:rsidRDefault="00E84306">
            <w:pPr>
              <w:rPr>
                <w:rStyle w:val="SubtleEmphasis"/>
                <w:lang w:val="en-US"/>
              </w:rPr>
            </w:pPr>
          </w:p>
        </w:tc>
        <w:tc>
          <w:tcPr>
            <w:tcW w:w="261" w:type="dxa"/>
            <w:tcBorders>
              <w:top w:val="nil"/>
              <w:left w:val="nil"/>
              <w:bottom w:val="nil"/>
              <w:right w:val="nil"/>
            </w:tcBorders>
          </w:tcPr>
          <w:p w14:paraId="5560784D" w14:textId="77777777" w:rsidR="00E84306" w:rsidRPr="00F9478A" w:rsidRDefault="00E84306">
            <w:pPr>
              <w:rPr>
                <w:rStyle w:val="SubtleEmphasis"/>
                <w:b/>
                <w:sz w:val="12"/>
                <w:lang w:val="en-US"/>
              </w:rPr>
            </w:pPr>
          </w:p>
        </w:tc>
        <w:tc>
          <w:tcPr>
            <w:tcW w:w="2835" w:type="dxa"/>
            <w:tcBorders>
              <w:top w:val="nil"/>
              <w:left w:val="nil"/>
              <w:right w:val="nil"/>
            </w:tcBorders>
            <w:vAlign w:val="center"/>
          </w:tcPr>
          <w:p w14:paraId="5560784E" w14:textId="77777777" w:rsidR="00E84306" w:rsidRPr="00F9478A" w:rsidRDefault="00E84306">
            <w:pPr>
              <w:rPr>
                <w:rStyle w:val="SubtleEmphasis"/>
                <w:sz w:val="24"/>
                <w:lang w:val="en-US"/>
              </w:rPr>
            </w:pPr>
            <w:r w:rsidRPr="00F9478A">
              <w:rPr>
                <w:rStyle w:val="SubtleEmphasis"/>
                <w:b/>
                <w:lang w:val="en-US"/>
              </w:rPr>
              <w:t>Investment Plan</w:t>
            </w:r>
          </w:p>
        </w:tc>
        <w:tc>
          <w:tcPr>
            <w:tcW w:w="2268" w:type="dxa"/>
            <w:tcBorders>
              <w:top w:val="nil"/>
              <w:left w:val="nil"/>
              <w:right w:val="nil"/>
            </w:tcBorders>
            <w:vAlign w:val="center"/>
          </w:tcPr>
          <w:p w14:paraId="5560784F" w14:textId="77777777" w:rsidR="00E84306" w:rsidRPr="00F9478A" w:rsidRDefault="00E84306">
            <w:pPr>
              <w:rPr>
                <w:rStyle w:val="SubtleEmphasis"/>
                <w:sz w:val="24"/>
                <w:lang w:val="en-US"/>
              </w:rPr>
            </w:pPr>
            <w:r w:rsidRPr="00F9478A">
              <w:rPr>
                <w:rStyle w:val="SubtleEmphasis"/>
                <w:b/>
                <w:lang w:val="en-US"/>
              </w:rPr>
              <w:t xml:space="preserve">Age in Life </w:t>
            </w:r>
            <w:r w:rsidR="00AB797D" w:rsidRPr="00F9478A">
              <w:rPr>
                <w:rStyle w:val="SubtleEmphasis"/>
                <w:b/>
                <w:lang w:val="en-US"/>
              </w:rPr>
              <w:t>Line</w:t>
            </w:r>
          </w:p>
        </w:tc>
      </w:tr>
      <w:bookmarkStart w:id="8" w:name="SPARN_AEVILINA"/>
      <w:tr w:rsidR="00E84306" w:rsidRPr="00F9478A" w14:paraId="55607855" w14:textId="77777777" w:rsidTr="00A74F9C">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55607851" w14:textId="77777777" w:rsidR="00E84306" w:rsidRPr="00F9478A" w:rsidRDefault="00E84306">
            <w:pPr>
              <w:jc w:val="right"/>
              <w:rPr>
                <w:rStyle w:val="SubtleEmphasis"/>
                <w:lang w:val="en-US"/>
              </w:rPr>
            </w:pPr>
            <w:r w:rsidRPr="00F9478A">
              <w:rPr>
                <w:rStyle w:val="SubtleEmphasis"/>
                <w:lang w:val="en-US"/>
              </w:rPr>
              <w:fldChar w:fldCharType="begin">
                <w:ffData>
                  <w:name w:val="SPARN_AEVILINA"/>
                  <w:enabled/>
                  <w:calcOnExit w:val="0"/>
                  <w:textInput>
                    <w:maxLength w:val="1"/>
                  </w:textInput>
                </w:ffData>
              </w:fldChar>
            </w:r>
            <w:r w:rsidRPr="00F9478A">
              <w:rPr>
                <w:rStyle w:val="SubtleEmphasis"/>
                <w:lang w:val="en-US"/>
              </w:rPr>
              <w:instrText xml:space="preserve"> FORMTEXT </w:instrText>
            </w:r>
            <w:r w:rsidRPr="00F9478A">
              <w:rPr>
                <w:rStyle w:val="SubtleEmphasis"/>
                <w:lang w:val="en-US"/>
              </w:rPr>
            </w:r>
            <w:r w:rsidRPr="00F9478A">
              <w:rPr>
                <w:rStyle w:val="SubtleEmphasis"/>
                <w:lang w:val="en-US"/>
              </w:rPr>
              <w:fldChar w:fldCharType="separate"/>
            </w:r>
            <w:r w:rsidRPr="00F9478A">
              <w:rPr>
                <w:rStyle w:val="SubtleEmphasis"/>
                <w:lang w:val="en-US"/>
              </w:rPr>
              <w:t> </w:t>
            </w:r>
            <w:r w:rsidRPr="00F9478A">
              <w:rPr>
                <w:rStyle w:val="SubtleEmphasis"/>
                <w:lang w:val="en-US"/>
              </w:rPr>
              <w:fldChar w:fldCharType="end"/>
            </w:r>
            <w:bookmarkEnd w:id="8"/>
          </w:p>
        </w:tc>
        <w:tc>
          <w:tcPr>
            <w:tcW w:w="261" w:type="dxa"/>
            <w:tcBorders>
              <w:top w:val="nil"/>
              <w:left w:val="single" w:sz="4" w:space="0" w:color="auto"/>
              <w:bottom w:val="nil"/>
              <w:right w:val="nil"/>
            </w:tcBorders>
          </w:tcPr>
          <w:p w14:paraId="55607852" w14:textId="77777777" w:rsidR="00E84306" w:rsidRPr="00F9478A" w:rsidRDefault="00E84306">
            <w:pPr>
              <w:rPr>
                <w:rStyle w:val="SubtleEmphasis"/>
                <w:sz w:val="12"/>
                <w:lang w:val="en-US"/>
              </w:rPr>
            </w:pPr>
          </w:p>
        </w:tc>
        <w:tc>
          <w:tcPr>
            <w:tcW w:w="2835" w:type="dxa"/>
            <w:tcBorders>
              <w:left w:val="nil"/>
              <w:right w:val="nil"/>
            </w:tcBorders>
            <w:vAlign w:val="center"/>
          </w:tcPr>
          <w:p w14:paraId="55607853" w14:textId="77777777" w:rsidR="00E84306" w:rsidRPr="00F9478A" w:rsidRDefault="00AB797D">
            <w:pPr>
              <w:rPr>
                <w:rStyle w:val="SubtleEmphasis"/>
                <w:lang w:val="en-US"/>
              </w:rPr>
            </w:pPr>
            <w:r w:rsidRPr="00F9478A">
              <w:rPr>
                <w:rStyle w:val="SubtleEmphasis"/>
                <w:lang w:val="en-US"/>
              </w:rPr>
              <w:t>Life Line</w:t>
            </w:r>
          </w:p>
        </w:tc>
        <w:tc>
          <w:tcPr>
            <w:tcW w:w="2268" w:type="dxa"/>
            <w:tcBorders>
              <w:left w:val="nil"/>
              <w:right w:val="nil"/>
            </w:tcBorders>
            <w:vAlign w:val="center"/>
          </w:tcPr>
          <w:p w14:paraId="55607854" w14:textId="77777777" w:rsidR="00E84306" w:rsidRPr="00F9478A" w:rsidRDefault="00E84306">
            <w:pPr>
              <w:rPr>
                <w:rStyle w:val="SubtleEmphasis"/>
                <w:lang w:val="en-US"/>
              </w:rPr>
            </w:pPr>
            <w:r w:rsidRPr="00F9478A">
              <w:rPr>
                <w:rStyle w:val="SubtleEmphasis"/>
                <w:lang w:val="en-US"/>
              </w:rPr>
              <w:t>Lífeyrisauki 1-5</w:t>
            </w:r>
          </w:p>
        </w:tc>
      </w:tr>
      <w:tr w:rsidR="00E84306" w:rsidRPr="00F9478A" w14:paraId="5560785A" w14:textId="77777777" w:rsidTr="00A74F9C">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55607856" w14:textId="77777777" w:rsidR="00E84306" w:rsidRPr="00F9478A" w:rsidRDefault="00E84306">
            <w:pPr>
              <w:jc w:val="right"/>
              <w:rPr>
                <w:rStyle w:val="SubtleEmphasis"/>
                <w:lang w:val="en-US"/>
              </w:rPr>
            </w:pPr>
            <w:r w:rsidRPr="00F9478A">
              <w:rPr>
                <w:rStyle w:val="SubtleEmphasis"/>
                <w:lang w:val="en-US"/>
              </w:rPr>
              <w:fldChar w:fldCharType="begin">
                <w:ffData>
                  <w:name w:val="SPARN_LIFEYRISAUKI1"/>
                  <w:enabled/>
                  <w:calcOnExit w:val="0"/>
                  <w:textInput>
                    <w:maxLength w:val="1"/>
                  </w:textInput>
                </w:ffData>
              </w:fldChar>
            </w:r>
            <w:r w:rsidRPr="00F9478A">
              <w:rPr>
                <w:rStyle w:val="SubtleEmphasis"/>
                <w:lang w:val="en-US"/>
              </w:rPr>
              <w:instrText xml:space="preserve"> FORMTEXT </w:instrText>
            </w:r>
            <w:r w:rsidRPr="00F9478A">
              <w:rPr>
                <w:rStyle w:val="SubtleEmphasis"/>
                <w:lang w:val="en-US"/>
              </w:rPr>
            </w:r>
            <w:r w:rsidRPr="00F9478A">
              <w:rPr>
                <w:rStyle w:val="SubtleEmphasis"/>
                <w:lang w:val="en-US"/>
              </w:rPr>
              <w:fldChar w:fldCharType="separate"/>
            </w:r>
            <w:r w:rsidRPr="00F9478A">
              <w:rPr>
                <w:rStyle w:val="SubtleEmphasis"/>
                <w:lang w:val="en-US"/>
              </w:rPr>
              <w:t> </w:t>
            </w:r>
            <w:r w:rsidRPr="00F9478A">
              <w:rPr>
                <w:rStyle w:val="SubtleEmphasis"/>
                <w:lang w:val="en-US"/>
              </w:rPr>
              <w:fldChar w:fldCharType="end"/>
            </w:r>
          </w:p>
        </w:tc>
        <w:tc>
          <w:tcPr>
            <w:tcW w:w="261" w:type="dxa"/>
            <w:tcBorders>
              <w:top w:val="nil"/>
              <w:left w:val="single" w:sz="4" w:space="0" w:color="auto"/>
              <w:bottom w:val="nil"/>
              <w:right w:val="nil"/>
            </w:tcBorders>
          </w:tcPr>
          <w:p w14:paraId="55607857" w14:textId="77777777" w:rsidR="00E84306" w:rsidRPr="00F9478A" w:rsidRDefault="00E84306">
            <w:pPr>
              <w:rPr>
                <w:rStyle w:val="SubtleEmphasis"/>
                <w:sz w:val="12"/>
                <w:lang w:val="en-US"/>
              </w:rPr>
            </w:pPr>
          </w:p>
        </w:tc>
        <w:tc>
          <w:tcPr>
            <w:tcW w:w="2835" w:type="dxa"/>
            <w:tcBorders>
              <w:left w:val="nil"/>
              <w:right w:val="nil"/>
            </w:tcBorders>
            <w:vAlign w:val="center"/>
          </w:tcPr>
          <w:p w14:paraId="55607858" w14:textId="77777777" w:rsidR="00E84306" w:rsidRPr="00F9478A" w:rsidRDefault="00E84306">
            <w:pPr>
              <w:rPr>
                <w:rStyle w:val="SubtleEmphasis"/>
                <w:lang w:val="en-US"/>
              </w:rPr>
            </w:pPr>
            <w:r w:rsidRPr="00F9478A">
              <w:rPr>
                <w:rStyle w:val="SubtleEmphasis"/>
                <w:lang w:val="en-US"/>
              </w:rPr>
              <w:t>Lífeyrisauki 1</w:t>
            </w:r>
          </w:p>
        </w:tc>
        <w:tc>
          <w:tcPr>
            <w:tcW w:w="2268" w:type="dxa"/>
            <w:tcBorders>
              <w:left w:val="nil"/>
              <w:right w:val="nil"/>
            </w:tcBorders>
            <w:vAlign w:val="center"/>
          </w:tcPr>
          <w:p w14:paraId="55607859" w14:textId="77777777" w:rsidR="00E84306" w:rsidRPr="00F9478A" w:rsidRDefault="00E84306">
            <w:pPr>
              <w:rPr>
                <w:rStyle w:val="SubtleEmphasis"/>
                <w:sz w:val="24"/>
                <w:lang w:val="en-US"/>
              </w:rPr>
            </w:pPr>
            <w:bookmarkStart w:id="9" w:name="SPARN_LIFEYRISAUKI1"/>
            <w:r w:rsidRPr="00F9478A">
              <w:rPr>
                <w:rStyle w:val="SubtleEmphasis"/>
                <w:lang w:val="en-US"/>
              </w:rPr>
              <w:t>30 years old and younger</w:t>
            </w:r>
            <w:bookmarkEnd w:id="9"/>
          </w:p>
        </w:tc>
      </w:tr>
      <w:tr w:rsidR="00E84306" w:rsidRPr="00F9478A" w14:paraId="5560785F" w14:textId="77777777" w:rsidTr="00A74F9C">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5560785B" w14:textId="77777777" w:rsidR="00E84306" w:rsidRPr="00F9478A" w:rsidRDefault="00E84306">
            <w:pPr>
              <w:jc w:val="right"/>
              <w:rPr>
                <w:rStyle w:val="SubtleEmphasis"/>
                <w:lang w:val="en-US"/>
              </w:rPr>
            </w:pPr>
            <w:r w:rsidRPr="00F9478A">
              <w:rPr>
                <w:rStyle w:val="SubtleEmphasis"/>
                <w:lang w:val="en-US"/>
              </w:rPr>
              <w:fldChar w:fldCharType="begin">
                <w:ffData>
                  <w:name w:val="SPARN_LIFEYRISAUKI2"/>
                  <w:enabled/>
                  <w:calcOnExit w:val="0"/>
                  <w:textInput>
                    <w:maxLength w:val="1"/>
                  </w:textInput>
                </w:ffData>
              </w:fldChar>
            </w:r>
            <w:r w:rsidRPr="00F9478A">
              <w:rPr>
                <w:rStyle w:val="SubtleEmphasis"/>
                <w:lang w:val="en-US"/>
              </w:rPr>
              <w:instrText xml:space="preserve"> FORMTEXT </w:instrText>
            </w:r>
            <w:r w:rsidRPr="00F9478A">
              <w:rPr>
                <w:rStyle w:val="SubtleEmphasis"/>
                <w:lang w:val="en-US"/>
              </w:rPr>
            </w:r>
            <w:r w:rsidRPr="00F9478A">
              <w:rPr>
                <w:rStyle w:val="SubtleEmphasis"/>
                <w:lang w:val="en-US"/>
              </w:rPr>
              <w:fldChar w:fldCharType="separate"/>
            </w:r>
            <w:r w:rsidRPr="00F9478A">
              <w:rPr>
                <w:rStyle w:val="SubtleEmphasis"/>
                <w:lang w:val="en-US"/>
              </w:rPr>
              <w:t> </w:t>
            </w:r>
            <w:r w:rsidRPr="00F9478A">
              <w:rPr>
                <w:rStyle w:val="SubtleEmphasis"/>
                <w:lang w:val="en-US"/>
              </w:rPr>
              <w:fldChar w:fldCharType="end"/>
            </w:r>
          </w:p>
        </w:tc>
        <w:tc>
          <w:tcPr>
            <w:tcW w:w="261" w:type="dxa"/>
            <w:tcBorders>
              <w:top w:val="nil"/>
              <w:left w:val="single" w:sz="4" w:space="0" w:color="auto"/>
              <w:bottom w:val="nil"/>
              <w:right w:val="nil"/>
            </w:tcBorders>
          </w:tcPr>
          <w:p w14:paraId="5560785C" w14:textId="77777777" w:rsidR="00E84306" w:rsidRPr="00F9478A" w:rsidRDefault="00E84306">
            <w:pPr>
              <w:rPr>
                <w:rStyle w:val="SubtleEmphasis"/>
                <w:sz w:val="12"/>
                <w:lang w:val="en-US"/>
              </w:rPr>
            </w:pPr>
          </w:p>
        </w:tc>
        <w:tc>
          <w:tcPr>
            <w:tcW w:w="2835" w:type="dxa"/>
            <w:tcBorders>
              <w:left w:val="nil"/>
              <w:right w:val="nil"/>
            </w:tcBorders>
            <w:vAlign w:val="center"/>
          </w:tcPr>
          <w:p w14:paraId="5560785D" w14:textId="77777777" w:rsidR="00E84306" w:rsidRPr="00F9478A" w:rsidRDefault="00E84306">
            <w:pPr>
              <w:rPr>
                <w:rStyle w:val="SubtleEmphasis"/>
                <w:lang w:val="en-US"/>
              </w:rPr>
            </w:pPr>
            <w:r w:rsidRPr="00F9478A">
              <w:rPr>
                <w:rStyle w:val="SubtleEmphasis"/>
                <w:lang w:val="en-US"/>
              </w:rPr>
              <w:t>Lífeyrisauki 2</w:t>
            </w:r>
          </w:p>
        </w:tc>
        <w:tc>
          <w:tcPr>
            <w:tcW w:w="2268" w:type="dxa"/>
            <w:tcBorders>
              <w:left w:val="nil"/>
              <w:right w:val="nil"/>
            </w:tcBorders>
            <w:vAlign w:val="center"/>
          </w:tcPr>
          <w:p w14:paraId="5560785E" w14:textId="77777777" w:rsidR="00E84306" w:rsidRPr="00F9478A" w:rsidRDefault="00E84306">
            <w:pPr>
              <w:rPr>
                <w:rStyle w:val="SubtleEmphasis"/>
                <w:sz w:val="24"/>
                <w:lang w:val="en-US"/>
              </w:rPr>
            </w:pPr>
            <w:bookmarkStart w:id="10" w:name="SPARN_LIFEYRISAUKI2"/>
            <w:r w:rsidRPr="00F9478A">
              <w:rPr>
                <w:sz w:val="18"/>
                <w:lang w:val="en-US"/>
              </w:rPr>
              <w:t>31-40 years old</w:t>
            </w:r>
            <w:bookmarkEnd w:id="10"/>
          </w:p>
        </w:tc>
      </w:tr>
      <w:tr w:rsidR="00E84306" w:rsidRPr="00F9478A" w14:paraId="55607864" w14:textId="77777777" w:rsidTr="00A74F9C">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55607860" w14:textId="77777777" w:rsidR="00E84306" w:rsidRPr="00F9478A" w:rsidRDefault="00E84306">
            <w:pPr>
              <w:jc w:val="right"/>
              <w:rPr>
                <w:rStyle w:val="SubtleEmphasis"/>
                <w:lang w:val="en-US"/>
              </w:rPr>
            </w:pPr>
            <w:r w:rsidRPr="00F9478A">
              <w:rPr>
                <w:rStyle w:val="SubtleEmphasis"/>
                <w:lang w:val="en-US"/>
              </w:rPr>
              <w:fldChar w:fldCharType="begin">
                <w:ffData>
                  <w:name w:val="SPARN_LIFEYRISAUKI3"/>
                  <w:enabled/>
                  <w:calcOnExit w:val="0"/>
                  <w:textInput>
                    <w:maxLength w:val="1"/>
                  </w:textInput>
                </w:ffData>
              </w:fldChar>
            </w:r>
            <w:r w:rsidRPr="00F9478A">
              <w:rPr>
                <w:rStyle w:val="SubtleEmphasis"/>
                <w:lang w:val="en-US"/>
              </w:rPr>
              <w:instrText xml:space="preserve"> FORMTEXT </w:instrText>
            </w:r>
            <w:r w:rsidRPr="00F9478A">
              <w:rPr>
                <w:rStyle w:val="SubtleEmphasis"/>
                <w:lang w:val="en-US"/>
              </w:rPr>
            </w:r>
            <w:r w:rsidRPr="00F9478A">
              <w:rPr>
                <w:rStyle w:val="SubtleEmphasis"/>
                <w:lang w:val="en-US"/>
              </w:rPr>
              <w:fldChar w:fldCharType="separate"/>
            </w:r>
            <w:r w:rsidRPr="00F9478A">
              <w:rPr>
                <w:rStyle w:val="SubtleEmphasis"/>
                <w:lang w:val="en-US"/>
              </w:rPr>
              <w:t> </w:t>
            </w:r>
            <w:r w:rsidRPr="00F9478A">
              <w:rPr>
                <w:rStyle w:val="SubtleEmphasis"/>
                <w:lang w:val="en-US"/>
              </w:rPr>
              <w:fldChar w:fldCharType="end"/>
            </w:r>
          </w:p>
        </w:tc>
        <w:tc>
          <w:tcPr>
            <w:tcW w:w="261" w:type="dxa"/>
            <w:tcBorders>
              <w:top w:val="nil"/>
              <w:left w:val="single" w:sz="4" w:space="0" w:color="auto"/>
              <w:bottom w:val="nil"/>
              <w:right w:val="nil"/>
            </w:tcBorders>
          </w:tcPr>
          <w:p w14:paraId="55607861" w14:textId="77777777" w:rsidR="00E84306" w:rsidRPr="00F9478A" w:rsidRDefault="00E84306">
            <w:pPr>
              <w:rPr>
                <w:rStyle w:val="SubtleEmphasis"/>
                <w:sz w:val="12"/>
                <w:lang w:val="en-US"/>
              </w:rPr>
            </w:pPr>
          </w:p>
        </w:tc>
        <w:tc>
          <w:tcPr>
            <w:tcW w:w="2835" w:type="dxa"/>
            <w:tcBorders>
              <w:left w:val="nil"/>
              <w:right w:val="nil"/>
            </w:tcBorders>
            <w:vAlign w:val="center"/>
          </w:tcPr>
          <w:p w14:paraId="55607862" w14:textId="77777777" w:rsidR="00E84306" w:rsidRPr="00F9478A" w:rsidRDefault="00E84306">
            <w:pPr>
              <w:rPr>
                <w:rStyle w:val="SubtleEmphasis"/>
                <w:lang w:val="en-US"/>
              </w:rPr>
            </w:pPr>
            <w:r w:rsidRPr="00F9478A">
              <w:rPr>
                <w:rStyle w:val="SubtleEmphasis"/>
                <w:lang w:val="en-US"/>
              </w:rPr>
              <w:t>Lífeyrisauki 3</w:t>
            </w:r>
          </w:p>
        </w:tc>
        <w:tc>
          <w:tcPr>
            <w:tcW w:w="2268" w:type="dxa"/>
            <w:tcBorders>
              <w:left w:val="nil"/>
              <w:right w:val="nil"/>
            </w:tcBorders>
            <w:vAlign w:val="center"/>
          </w:tcPr>
          <w:p w14:paraId="55607863" w14:textId="77777777" w:rsidR="00E84306" w:rsidRPr="00F9478A" w:rsidRDefault="00E84306">
            <w:pPr>
              <w:rPr>
                <w:rStyle w:val="SubtleEmphasis"/>
                <w:sz w:val="24"/>
                <w:lang w:val="en-US"/>
              </w:rPr>
            </w:pPr>
            <w:bookmarkStart w:id="11" w:name="SPARN_LIFEYRISAUKI3"/>
            <w:r w:rsidRPr="00F9478A">
              <w:rPr>
                <w:rStyle w:val="SubtleEmphasis"/>
                <w:lang w:val="en-US"/>
              </w:rPr>
              <w:t>41-54 years old</w:t>
            </w:r>
            <w:bookmarkEnd w:id="11"/>
          </w:p>
        </w:tc>
      </w:tr>
      <w:tr w:rsidR="00E84306" w:rsidRPr="00F9478A" w14:paraId="55607869" w14:textId="77777777" w:rsidTr="00A74F9C">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55607865" w14:textId="77777777" w:rsidR="00E84306" w:rsidRPr="00F9478A" w:rsidRDefault="00E84306">
            <w:pPr>
              <w:jc w:val="right"/>
              <w:rPr>
                <w:rStyle w:val="SubtleEmphasis"/>
                <w:lang w:val="en-US"/>
              </w:rPr>
            </w:pPr>
            <w:r w:rsidRPr="00F9478A">
              <w:rPr>
                <w:rStyle w:val="SubtleEmphasis"/>
                <w:lang w:val="en-US"/>
              </w:rPr>
              <w:fldChar w:fldCharType="begin">
                <w:ffData>
                  <w:name w:val="SPARN_LIFEYRISAUKI4"/>
                  <w:enabled/>
                  <w:calcOnExit w:val="0"/>
                  <w:textInput>
                    <w:maxLength w:val="1"/>
                  </w:textInput>
                </w:ffData>
              </w:fldChar>
            </w:r>
            <w:r w:rsidRPr="00F9478A">
              <w:rPr>
                <w:rStyle w:val="SubtleEmphasis"/>
                <w:lang w:val="en-US"/>
              </w:rPr>
              <w:instrText xml:space="preserve"> FORMTEXT </w:instrText>
            </w:r>
            <w:r w:rsidRPr="00F9478A">
              <w:rPr>
                <w:rStyle w:val="SubtleEmphasis"/>
                <w:lang w:val="en-US"/>
              </w:rPr>
            </w:r>
            <w:r w:rsidRPr="00F9478A">
              <w:rPr>
                <w:rStyle w:val="SubtleEmphasis"/>
                <w:lang w:val="en-US"/>
              </w:rPr>
              <w:fldChar w:fldCharType="separate"/>
            </w:r>
            <w:r w:rsidRPr="00F9478A">
              <w:rPr>
                <w:rStyle w:val="SubtleEmphasis"/>
                <w:lang w:val="en-US"/>
              </w:rPr>
              <w:t> </w:t>
            </w:r>
            <w:r w:rsidRPr="00F9478A">
              <w:rPr>
                <w:rStyle w:val="SubtleEmphasis"/>
                <w:lang w:val="en-US"/>
              </w:rPr>
              <w:fldChar w:fldCharType="end"/>
            </w:r>
          </w:p>
        </w:tc>
        <w:tc>
          <w:tcPr>
            <w:tcW w:w="261" w:type="dxa"/>
            <w:tcBorders>
              <w:top w:val="nil"/>
              <w:left w:val="single" w:sz="4" w:space="0" w:color="auto"/>
              <w:bottom w:val="nil"/>
              <w:right w:val="nil"/>
            </w:tcBorders>
          </w:tcPr>
          <w:p w14:paraId="55607866" w14:textId="77777777" w:rsidR="00E84306" w:rsidRPr="00F9478A" w:rsidRDefault="00E84306">
            <w:pPr>
              <w:rPr>
                <w:rStyle w:val="SubtleEmphasis"/>
                <w:sz w:val="12"/>
                <w:lang w:val="en-US"/>
              </w:rPr>
            </w:pPr>
          </w:p>
        </w:tc>
        <w:tc>
          <w:tcPr>
            <w:tcW w:w="2835" w:type="dxa"/>
            <w:tcBorders>
              <w:left w:val="nil"/>
              <w:right w:val="nil"/>
            </w:tcBorders>
            <w:vAlign w:val="center"/>
          </w:tcPr>
          <w:p w14:paraId="55607867" w14:textId="77777777" w:rsidR="00E84306" w:rsidRPr="00F9478A" w:rsidRDefault="00E84306">
            <w:pPr>
              <w:rPr>
                <w:rStyle w:val="SubtleEmphasis"/>
                <w:lang w:val="en-US"/>
              </w:rPr>
            </w:pPr>
            <w:r w:rsidRPr="00F9478A">
              <w:rPr>
                <w:rStyle w:val="SubtleEmphasis"/>
                <w:lang w:val="en-US"/>
              </w:rPr>
              <w:t>Lífeyrisauki 4</w:t>
            </w:r>
          </w:p>
        </w:tc>
        <w:tc>
          <w:tcPr>
            <w:tcW w:w="2268" w:type="dxa"/>
            <w:tcBorders>
              <w:left w:val="nil"/>
              <w:right w:val="nil"/>
            </w:tcBorders>
            <w:vAlign w:val="center"/>
          </w:tcPr>
          <w:p w14:paraId="55607868" w14:textId="77777777" w:rsidR="00E84306" w:rsidRPr="00F9478A" w:rsidRDefault="00E84306">
            <w:pPr>
              <w:rPr>
                <w:rStyle w:val="SubtleEmphasis"/>
                <w:sz w:val="24"/>
                <w:lang w:val="en-US"/>
              </w:rPr>
            </w:pPr>
            <w:bookmarkStart w:id="12" w:name="SPARN_LIFEYRISAUKI4"/>
            <w:r w:rsidRPr="00F9478A">
              <w:rPr>
                <w:rStyle w:val="SubtleEmphasis"/>
                <w:lang w:val="en-US"/>
              </w:rPr>
              <w:t>55-60 years old</w:t>
            </w:r>
            <w:bookmarkEnd w:id="12"/>
          </w:p>
        </w:tc>
      </w:tr>
      <w:tr w:rsidR="00E84306" w:rsidRPr="00F9478A" w14:paraId="5560786E" w14:textId="77777777" w:rsidTr="00A74F9C">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5560786A" w14:textId="77777777" w:rsidR="00E84306" w:rsidRPr="00F9478A" w:rsidRDefault="00E84306">
            <w:pPr>
              <w:jc w:val="right"/>
              <w:rPr>
                <w:rStyle w:val="SubtleEmphasis"/>
                <w:lang w:val="en-US"/>
              </w:rPr>
            </w:pPr>
            <w:r w:rsidRPr="00F9478A">
              <w:rPr>
                <w:rStyle w:val="SubtleEmphasis"/>
                <w:lang w:val="en-US"/>
              </w:rPr>
              <w:fldChar w:fldCharType="begin">
                <w:ffData>
                  <w:name w:val="SPARN_LIFEYRISAUKI5"/>
                  <w:enabled/>
                  <w:calcOnExit w:val="0"/>
                  <w:textInput>
                    <w:maxLength w:val="1"/>
                  </w:textInput>
                </w:ffData>
              </w:fldChar>
            </w:r>
            <w:r w:rsidRPr="00F9478A">
              <w:rPr>
                <w:rStyle w:val="SubtleEmphasis"/>
                <w:lang w:val="en-US"/>
              </w:rPr>
              <w:instrText xml:space="preserve"> FORMTEXT </w:instrText>
            </w:r>
            <w:r w:rsidRPr="00F9478A">
              <w:rPr>
                <w:rStyle w:val="SubtleEmphasis"/>
                <w:lang w:val="en-US"/>
              </w:rPr>
            </w:r>
            <w:r w:rsidRPr="00F9478A">
              <w:rPr>
                <w:rStyle w:val="SubtleEmphasis"/>
                <w:lang w:val="en-US"/>
              </w:rPr>
              <w:fldChar w:fldCharType="separate"/>
            </w:r>
            <w:r w:rsidRPr="00F9478A">
              <w:rPr>
                <w:rStyle w:val="SubtleEmphasis"/>
                <w:lang w:val="en-US"/>
              </w:rPr>
              <w:t> </w:t>
            </w:r>
            <w:r w:rsidRPr="00F9478A">
              <w:rPr>
                <w:rStyle w:val="SubtleEmphasis"/>
                <w:lang w:val="en-US"/>
              </w:rPr>
              <w:fldChar w:fldCharType="end"/>
            </w:r>
          </w:p>
        </w:tc>
        <w:tc>
          <w:tcPr>
            <w:tcW w:w="261" w:type="dxa"/>
            <w:tcBorders>
              <w:top w:val="nil"/>
              <w:left w:val="single" w:sz="4" w:space="0" w:color="auto"/>
              <w:bottom w:val="nil"/>
              <w:right w:val="nil"/>
            </w:tcBorders>
          </w:tcPr>
          <w:p w14:paraId="5560786B" w14:textId="77777777" w:rsidR="00E84306" w:rsidRPr="00F9478A" w:rsidRDefault="00E84306">
            <w:pPr>
              <w:rPr>
                <w:rStyle w:val="SubtleEmphasis"/>
                <w:sz w:val="12"/>
                <w:lang w:val="en-US"/>
              </w:rPr>
            </w:pPr>
          </w:p>
        </w:tc>
        <w:tc>
          <w:tcPr>
            <w:tcW w:w="2835" w:type="dxa"/>
            <w:tcBorders>
              <w:left w:val="nil"/>
              <w:right w:val="nil"/>
            </w:tcBorders>
            <w:vAlign w:val="center"/>
          </w:tcPr>
          <w:p w14:paraId="5560786C" w14:textId="77777777" w:rsidR="00E84306" w:rsidRPr="00F9478A" w:rsidRDefault="00E84306">
            <w:pPr>
              <w:rPr>
                <w:rStyle w:val="SubtleEmphasis"/>
                <w:sz w:val="24"/>
                <w:lang w:val="en-US"/>
              </w:rPr>
            </w:pPr>
            <w:r w:rsidRPr="00F9478A">
              <w:rPr>
                <w:rStyle w:val="SubtleEmphasis"/>
                <w:lang w:val="en-US"/>
              </w:rPr>
              <w:t>Lífeyrisauki 5 domestic bonds</w:t>
            </w:r>
          </w:p>
        </w:tc>
        <w:tc>
          <w:tcPr>
            <w:tcW w:w="2268" w:type="dxa"/>
            <w:tcBorders>
              <w:left w:val="nil"/>
              <w:right w:val="nil"/>
            </w:tcBorders>
            <w:vAlign w:val="center"/>
          </w:tcPr>
          <w:p w14:paraId="5560786D" w14:textId="77777777" w:rsidR="00E84306" w:rsidRPr="00F9478A" w:rsidRDefault="00E84306">
            <w:pPr>
              <w:rPr>
                <w:rStyle w:val="SubtleEmphasis"/>
                <w:sz w:val="24"/>
                <w:lang w:val="en-US"/>
              </w:rPr>
            </w:pPr>
            <w:bookmarkStart w:id="13" w:name="SPARN_LIFEYRISAUKI5"/>
            <w:r w:rsidRPr="00F9478A">
              <w:rPr>
                <w:sz w:val="18"/>
                <w:lang w:val="en-US"/>
              </w:rPr>
              <w:t>61 or older</w:t>
            </w:r>
            <w:bookmarkEnd w:id="13"/>
          </w:p>
        </w:tc>
      </w:tr>
      <w:tr w:rsidR="00E84306" w:rsidRPr="00F9478A" w14:paraId="55607873" w14:textId="77777777" w:rsidTr="00A74F9C">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5560786F" w14:textId="77777777" w:rsidR="00E84306" w:rsidRPr="00F9478A" w:rsidRDefault="00E84306">
            <w:pPr>
              <w:jc w:val="right"/>
              <w:rPr>
                <w:rStyle w:val="SubtleEmphasis"/>
                <w:lang w:val="en-US"/>
              </w:rPr>
            </w:pPr>
            <w:r w:rsidRPr="00F9478A">
              <w:rPr>
                <w:rStyle w:val="SubtleEmphasis"/>
                <w:lang w:val="en-US"/>
              </w:rPr>
              <w:fldChar w:fldCharType="begin">
                <w:ffData>
                  <w:name w:val="SPARN_INNLSKBR"/>
                  <w:enabled/>
                  <w:calcOnExit w:val="0"/>
                  <w:textInput>
                    <w:maxLength w:val="1"/>
                  </w:textInput>
                </w:ffData>
              </w:fldChar>
            </w:r>
            <w:r w:rsidRPr="00F9478A">
              <w:rPr>
                <w:rStyle w:val="SubtleEmphasis"/>
                <w:lang w:val="en-US"/>
              </w:rPr>
              <w:instrText xml:space="preserve"> FORMTEXT </w:instrText>
            </w:r>
            <w:r w:rsidRPr="00F9478A">
              <w:rPr>
                <w:rStyle w:val="SubtleEmphasis"/>
                <w:lang w:val="en-US"/>
              </w:rPr>
            </w:r>
            <w:r w:rsidRPr="00F9478A">
              <w:rPr>
                <w:rStyle w:val="SubtleEmphasis"/>
                <w:lang w:val="en-US"/>
              </w:rPr>
              <w:fldChar w:fldCharType="separate"/>
            </w:r>
            <w:r w:rsidRPr="00F9478A">
              <w:rPr>
                <w:rStyle w:val="SubtleEmphasis"/>
                <w:lang w:val="en-US"/>
              </w:rPr>
              <w:t> </w:t>
            </w:r>
            <w:r w:rsidRPr="00F9478A">
              <w:rPr>
                <w:rStyle w:val="SubtleEmphasis"/>
                <w:lang w:val="en-US"/>
              </w:rPr>
              <w:fldChar w:fldCharType="end"/>
            </w:r>
          </w:p>
        </w:tc>
        <w:tc>
          <w:tcPr>
            <w:tcW w:w="261" w:type="dxa"/>
            <w:tcBorders>
              <w:top w:val="nil"/>
              <w:left w:val="single" w:sz="4" w:space="0" w:color="auto"/>
              <w:bottom w:val="nil"/>
              <w:right w:val="nil"/>
            </w:tcBorders>
          </w:tcPr>
          <w:p w14:paraId="55607870" w14:textId="77777777" w:rsidR="00E84306" w:rsidRPr="00F9478A" w:rsidRDefault="00E84306">
            <w:pPr>
              <w:rPr>
                <w:rStyle w:val="SubtleEmphasis"/>
                <w:sz w:val="12"/>
                <w:lang w:val="en-US"/>
              </w:rPr>
            </w:pPr>
          </w:p>
        </w:tc>
        <w:tc>
          <w:tcPr>
            <w:tcW w:w="2835" w:type="dxa"/>
            <w:tcBorders>
              <w:left w:val="nil"/>
              <w:right w:val="nil"/>
            </w:tcBorders>
            <w:vAlign w:val="center"/>
          </w:tcPr>
          <w:p w14:paraId="55607871" w14:textId="77777777" w:rsidR="00E84306" w:rsidRPr="00F9478A" w:rsidRDefault="00E84306">
            <w:pPr>
              <w:rPr>
                <w:rStyle w:val="SubtleEmphasis"/>
                <w:sz w:val="24"/>
                <w:lang w:val="en-US"/>
              </w:rPr>
            </w:pPr>
            <w:bookmarkStart w:id="14" w:name="SPARN_INNLSKBR"/>
            <w:r w:rsidRPr="00F9478A">
              <w:rPr>
                <w:rStyle w:val="SubtleEmphasis"/>
                <w:lang w:val="en-US"/>
              </w:rPr>
              <w:t>Lífeyrisauki deposits</w:t>
            </w:r>
            <w:bookmarkEnd w:id="14"/>
          </w:p>
        </w:tc>
        <w:tc>
          <w:tcPr>
            <w:tcW w:w="2268" w:type="dxa"/>
            <w:tcBorders>
              <w:left w:val="nil"/>
              <w:right w:val="nil"/>
            </w:tcBorders>
            <w:vAlign w:val="center"/>
          </w:tcPr>
          <w:p w14:paraId="55607872" w14:textId="77777777" w:rsidR="00E84306" w:rsidRPr="00F9478A" w:rsidRDefault="00E84306">
            <w:pPr>
              <w:rPr>
                <w:rStyle w:val="SubtleEmphasis"/>
                <w:lang w:val="en-US"/>
              </w:rPr>
            </w:pPr>
          </w:p>
        </w:tc>
      </w:tr>
      <w:tr w:rsidR="00E84306" w:rsidRPr="00F9478A" w14:paraId="55607878" w14:textId="77777777" w:rsidTr="00A74F9C">
        <w:trPr>
          <w:trHeight w:val="283"/>
        </w:trPr>
        <w:tc>
          <w:tcPr>
            <w:tcW w:w="306" w:type="dxa"/>
            <w:tcBorders>
              <w:top w:val="single" w:sz="4" w:space="0" w:color="auto"/>
              <w:left w:val="single" w:sz="4" w:space="0" w:color="auto"/>
              <w:bottom w:val="single" w:sz="4" w:space="0" w:color="auto"/>
              <w:right w:val="single" w:sz="4" w:space="0" w:color="auto"/>
            </w:tcBorders>
            <w:vAlign w:val="center"/>
          </w:tcPr>
          <w:p w14:paraId="55607874" w14:textId="77777777" w:rsidR="00E84306" w:rsidRPr="00F9478A" w:rsidRDefault="00E84306">
            <w:pPr>
              <w:jc w:val="right"/>
              <w:rPr>
                <w:rStyle w:val="SubtleEmphasis"/>
                <w:lang w:val="en-US"/>
              </w:rPr>
            </w:pPr>
            <w:r w:rsidRPr="00F9478A">
              <w:rPr>
                <w:rStyle w:val="SubtleEmphasis"/>
                <w:lang w:val="en-US"/>
              </w:rPr>
              <w:fldChar w:fldCharType="begin">
                <w:ffData>
                  <w:name w:val="SPARN_ERLVERDBR"/>
                  <w:enabled/>
                  <w:calcOnExit w:val="0"/>
                  <w:textInput>
                    <w:maxLength w:val="1"/>
                  </w:textInput>
                </w:ffData>
              </w:fldChar>
            </w:r>
            <w:r w:rsidRPr="00F9478A">
              <w:rPr>
                <w:rStyle w:val="SubtleEmphasis"/>
                <w:lang w:val="en-US"/>
              </w:rPr>
              <w:instrText xml:space="preserve"> FORMTEXT </w:instrText>
            </w:r>
            <w:r w:rsidRPr="00F9478A">
              <w:rPr>
                <w:rStyle w:val="SubtleEmphasis"/>
                <w:lang w:val="en-US"/>
              </w:rPr>
            </w:r>
            <w:r w:rsidRPr="00F9478A">
              <w:rPr>
                <w:rStyle w:val="SubtleEmphasis"/>
                <w:lang w:val="en-US"/>
              </w:rPr>
              <w:fldChar w:fldCharType="separate"/>
            </w:r>
            <w:r w:rsidRPr="00F9478A">
              <w:rPr>
                <w:rStyle w:val="SubtleEmphasis"/>
                <w:lang w:val="en-US"/>
              </w:rPr>
              <w:t> </w:t>
            </w:r>
            <w:r w:rsidRPr="00F9478A">
              <w:rPr>
                <w:rStyle w:val="SubtleEmphasis"/>
                <w:lang w:val="en-US"/>
              </w:rPr>
              <w:fldChar w:fldCharType="end"/>
            </w:r>
          </w:p>
        </w:tc>
        <w:tc>
          <w:tcPr>
            <w:tcW w:w="261" w:type="dxa"/>
            <w:tcBorders>
              <w:top w:val="nil"/>
              <w:left w:val="single" w:sz="4" w:space="0" w:color="auto"/>
              <w:bottom w:val="nil"/>
              <w:right w:val="nil"/>
            </w:tcBorders>
          </w:tcPr>
          <w:p w14:paraId="55607875" w14:textId="77777777" w:rsidR="00E84306" w:rsidRPr="00F9478A" w:rsidRDefault="00E84306">
            <w:pPr>
              <w:rPr>
                <w:rStyle w:val="SubtleEmphasis"/>
                <w:sz w:val="12"/>
                <w:lang w:val="en-US"/>
              </w:rPr>
            </w:pPr>
          </w:p>
        </w:tc>
        <w:tc>
          <w:tcPr>
            <w:tcW w:w="2835" w:type="dxa"/>
            <w:tcBorders>
              <w:left w:val="nil"/>
              <w:right w:val="nil"/>
            </w:tcBorders>
            <w:vAlign w:val="center"/>
          </w:tcPr>
          <w:p w14:paraId="55607876" w14:textId="77777777" w:rsidR="00E84306" w:rsidRPr="00F9478A" w:rsidRDefault="00E84306">
            <w:pPr>
              <w:rPr>
                <w:rStyle w:val="SubtleEmphasis"/>
                <w:sz w:val="24"/>
                <w:lang w:val="en-US"/>
              </w:rPr>
            </w:pPr>
            <w:bookmarkStart w:id="15" w:name="SPARN_ERLVERDBR"/>
            <w:r w:rsidRPr="00F9478A">
              <w:rPr>
                <w:rStyle w:val="SubtleEmphasis"/>
                <w:lang w:val="en-US"/>
              </w:rPr>
              <w:t>Lífeyrisauki international securities</w:t>
            </w:r>
            <w:bookmarkEnd w:id="15"/>
          </w:p>
        </w:tc>
        <w:tc>
          <w:tcPr>
            <w:tcW w:w="2268" w:type="dxa"/>
            <w:tcBorders>
              <w:left w:val="nil"/>
              <w:right w:val="nil"/>
            </w:tcBorders>
            <w:vAlign w:val="center"/>
          </w:tcPr>
          <w:p w14:paraId="55607877" w14:textId="77777777" w:rsidR="00E84306" w:rsidRPr="00F9478A" w:rsidRDefault="00E84306">
            <w:pPr>
              <w:rPr>
                <w:rStyle w:val="SubtleEmphasis"/>
                <w:lang w:val="en-US"/>
              </w:rPr>
            </w:pPr>
          </w:p>
        </w:tc>
      </w:tr>
    </w:tbl>
    <w:p w14:paraId="55607879" w14:textId="77777777" w:rsidR="00E84306" w:rsidRPr="005204BD" w:rsidRDefault="00E84306">
      <w:pPr>
        <w:rPr>
          <w:rStyle w:val="SubtleEmphasis"/>
          <w:sz w:val="12"/>
          <w:szCs w:val="18"/>
          <w:lang w:val="en-US"/>
        </w:rPr>
      </w:pPr>
    </w:p>
    <w:p w14:paraId="6C2B06F8" w14:textId="2CDF0DF2" w:rsidR="009A4A62" w:rsidRPr="009A4A62" w:rsidRDefault="005204BD" w:rsidP="009A4A62">
      <w:pPr>
        <w:rPr>
          <w:sz w:val="16"/>
          <w:szCs w:val="16"/>
        </w:rPr>
      </w:pPr>
      <w:r w:rsidRPr="005204BD">
        <w:rPr>
          <w:sz w:val="16"/>
          <w:szCs w:val="16"/>
        </w:rPr>
        <w:t xml:space="preserve">The undersigned agrees to get the key information on the fund’s investment plans on Arion Bank’s website, i.e. </w:t>
      </w:r>
      <w:hyperlink r:id="rId11" w:history="1">
        <w:r w:rsidR="00A02422" w:rsidRPr="00FB30F6">
          <w:rPr>
            <w:rStyle w:val="Hyperlink"/>
            <w:rFonts w:cs="Calibri"/>
            <w:sz w:val="16"/>
            <w:szCs w:val="16"/>
            <w:lang w:val="en-US"/>
          </w:rPr>
          <w:t>https://www.arionbanki.is/einstaklingar/sparnadur/vidbotarlifeyrissparnadur/fjarfestingarleidir/#lykilupplysingar</w:t>
        </w:r>
      </w:hyperlink>
      <w:r w:rsidR="00614B72">
        <w:rPr>
          <w:sz w:val="16"/>
          <w:szCs w:val="16"/>
        </w:rPr>
        <w:t>.</w:t>
      </w:r>
    </w:p>
    <w:p w14:paraId="169D2409" w14:textId="49B745B7" w:rsidR="005204BD" w:rsidRPr="005204BD" w:rsidRDefault="005204BD" w:rsidP="005204BD">
      <w:pPr>
        <w:rPr>
          <w:rStyle w:val="SubtleEmphasis"/>
          <w:snapToGrid/>
          <w:sz w:val="16"/>
          <w:szCs w:val="16"/>
        </w:rPr>
      </w:pPr>
      <w:r w:rsidRPr="005204BD">
        <w:rPr>
          <w:sz w:val="16"/>
          <w:szCs w:val="16"/>
        </w:rPr>
        <w:t>It is also possible to get the key information on paper free of charge by contacting Arion Bank Pension Services on 444 7000. By signing below I confirm that I have read the key information on the fund’s investment plans.</w:t>
      </w:r>
    </w:p>
    <w:p w14:paraId="257C3CFF" w14:textId="77777777" w:rsidR="005204BD" w:rsidRPr="005204BD" w:rsidRDefault="005204BD" w:rsidP="005204BD">
      <w:pPr>
        <w:autoSpaceDE w:val="0"/>
        <w:autoSpaceDN w:val="0"/>
        <w:adjustRightInd w:val="0"/>
        <w:jc w:val="both"/>
        <w:rPr>
          <w:rStyle w:val="SubtleEmphasis"/>
          <w:sz w:val="16"/>
          <w:szCs w:val="16"/>
          <w:lang w:val="en-US"/>
        </w:rPr>
      </w:pPr>
      <w:r w:rsidRPr="005204BD">
        <w:rPr>
          <w:sz w:val="16"/>
          <w:szCs w:val="16"/>
          <w:lang w:val="en-US"/>
        </w:rPr>
        <w:t xml:space="preserve">The undersigned authorizes Arion Bank to obtain basic information on their supplementary savings at other custodians and to arrange the termination of their current supplementary savings, if applicable. The undersigned confirms to have read Lífeyrisauki’s investment policy and the rules on the indexation of savings and credit, which stipulate, amongst other things, the fixed investment term of indexed deposits. </w:t>
      </w:r>
      <w:r w:rsidRPr="005204BD">
        <w:rPr>
          <w:rStyle w:val="SubtleEmphasis"/>
          <w:sz w:val="16"/>
          <w:szCs w:val="16"/>
          <w:lang w:val="en-US"/>
        </w:rPr>
        <w:t>Arion Bank will send the above employer a copy of an agreement on supplementary savings when the agreement is signed. If Arion Bank receives information on the new employer from the beneficiary, Arion Bank will send the new employer a copy of this agreement. The employer is required to deduct pension contributions from their employees' salaries and submit them together with their corresponding contributions in accordance with Article 7 of Act No. 129/1997 with subsequent amendments.</w:t>
      </w:r>
    </w:p>
    <w:p w14:paraId="2A3CC04E" w14:textId="21D65AFA" w:rsidR="005204BD" w:rsidRPr="005204BD" w:rsidRDefault="005204BD" w:rsidP="005204BD">
      <w:pPr>
        <w:autoSpaceDE w:val="0"/>
        <w:autoSpaceDN w:val="0"/>
        <w:adjustRightInd w:val="0"/>
        <w:jc w:val="both"/>
        <w:rPr>
          <w:sz w:val="16"/>
          <w:szCs w:val="16"/>
          <w:lang w:val="en-US"/>
        </w:rPr>
      </w:pPr>
      <w:r w:rsidRPr="005204BD">
        <w:rPr>
          <w:sz w:val="16"/>
          <w:szCs w:val="16"/>
          <w:lang w:val="en-US"/>
        </w:rPr>
        <w:t xml:space="preserve">By signing the agreement I confirm that I’m aware that in order to fulfil their obligations pursuant to this agreement Arion Bank is required to collect and process personal information pursuant to laws and regulations. Further information on processing of personal data is available at </w:t>
      </w:r>
      <w:hyperlink r:id="rId12" w:history="1">
        <w:r w:rsidR="00E06342" w:rsidRPr="0026497A">
          <w:rPr>
            <w:rStyle w:val="Hyperlink"/>
            <w:sz w:val="16"/>
            <w:szCs w:val="16"/>
          </w:rPr>
          <w:t>https://www.arionbanki.is/bankinn/starfsemi/personuvernd/</w:t>
        </w:r>
      </w:hyperlink>
    </w:p>
    <w:p w14:paraId="5560787C" w14:textId="77777777" w:rsidR="00E84306" w:rsidRPr="00A74F9C" w:rsidRDefault="00E84306">
      <w:pPr>
        <w:rPr>
          <w:sz w:val="12"/>
          <w:szCs w:val="18"/>
          <w:lang w:val="en-US"/>
        </w:rPr>
      </w:pPr>
    </w:p>
    <w:p w14:paraId="5560787D" w14:textId="77777777" w:rsidR="00E84306" w:rsidRPr="00F9478A" w:rsidRDefault="00E84306">
      <w:pPr>
        <w:pStyle w:val="Footer"/>
        <w:jc w:val="both"/>
        <w:rPr>
          <w:rStyle w:val="SubtleEmphasis"/>
          <w:b/>
          <w:lang w:val="en-US"/>
        </w:rPr>
      </w:pPr>
      <w:r w:rsidRPr="00F9478A">
        <w:rPr>
          <w:b/>
          <w:sz w:val="18"/>
          <w:lang w:val="en-US"/>
        </w:rPr>
        <w:t xml:space="preserve">By signing below I confirm the contents of this agreement and agree to comply with the applicable rules.  </w:t>
      </w:r>
    </w:p>
    <w:p w14:paraId="5560787E" w14:textId="77777777" w:rsidR="00E84306" w:rsidRPr="005204BD" w:rsidRDefault="00E84306">
      <w:pPr>
        <w:spacing w:line="276" w:lineRule="auto"/>
        <w:rPr>
          <w:rStyle w:val="SubtleEmphasis"/>
          <w:sz w:val="14"/>
          <w:szCs w:val="20"/>
          <w:lang w:val="en-US"/>
        </w:rPr>
      </w:pPr>
    </w:p>
    <w:tbl>
      <w:tblPr>
        <w:tblW w:w="5000" w:type="pct"/>
        <w:tblLayout w:type="fixed"/>
        <w:tblLook w:val="0000" w:firstRow="0" w:lastRow="0" w:firstColumn="0" w:lastColumn="0" w:noHBand="0" w:noVBand="0"/>
      </w:tblPr>
      <w:tblGrid>
        <w:gridCol w:w="4576"/>
        <w:gridCol w:w="243"/>
        <w:gridCol w:w="5039"/>
        <w:gridCol w:w="6"/>
      </w:tblGrid>
      <w:tr w:rsidR="00E84306" w:rsidRPr="00F9478A" w14:paraId="55607882" w14:textId="77777777">
        <w:trPr>
          <w:gridAfter w:val="1"/>
          <w:wAfter w:w="3" w:type="pct"/>
        </w:trPr>
        <w:tc>
          <w:tcPr>
            <w:tcW w:w="2320" w:type="pct"/>
            <w:tcBorders>
              <w:bottom w:val="single" w:sz="2" w:space="0" w:color="auto"/>
            </w:tcBorders>
          </w:tcPr>
          <w:p w14:paraId="5560787F" w14:textId="77777777" w:rsidR="00E84306" w:rsidRPr="00F9478A" w:rsidRDefault="00E84306">
            <w:pPr>
              <w:rPr>
                <w:sz w:val="20"/>
                <w:lang w:val="en-US"/>
              </w:rPr>
            </w:pPr>
            <w:r w:rsidRPr="00F9478A">
              <w:rPr>
                <w:sz w:val="20"/>
                <w:lang w:val="en-US"/>
              </w:rPr>
              <w:fldChar w:fldCharType="begin">
                <w:ffData>
                  <w:name w:val="StadurDags"/>
                  <w:enabled/>
                  <w:calcOnExit w:val="0"/>
                  <w:textInput>
                    <w:maxLength w:val="55"/>
                  </w:textInput>
                </w:ffData>
              </w:fldChar>
            </w:r>
            <w:r w:rsidRPr="00F9478A">
              <w:rPr>
                <w:sz w:val="20"/>
                <w:lang w:val="en-US"/>
              </w:rPr>
              <w:instrText xml:space="preserve"> FORMTEXT </w:instrText>
            </w:r>
            <w:r w:rsidRPr="00F9478A">
              <w:rPr>
                <w:sz w:val="20"/>
                <w:lang w:val="en-US"/>
              </w:rPr>
            </w:r>
            <w:r w:rsidRPr="00F9478A">
              <w:rPr>
                <w:sz w:val="20"/>
                <w:lang w:val="en-US"/>
              </w:rPr>
              <w:fldChar w:fldCharType="separate"/>
            </w:r>
            <w:r w:rsidRPr="00F9478A">
              <w:rPr>
                <w:sz w:val="20"/>
                <w:lang w:val="en-US"/>
              </w:rPr>
              <w:t> </w:t>
            </w:r>
            <w:r w:rsidRPr="00F9478A">
              <w:rPr>
                <w:sz w:val="20"/>
                <w:lang w:val="en-US"/>
              </w:rPr>
              <w:t> </w:t>
            </w:r>
            <w:r w:rsidRPr="00F9478A">
              <w:rPr>
                <w:sz w:val="20"/>
                <w:lang w:val="en-US"/>
              </w:rPr>
              <w:t> </w:t>
            </w:r>
            <w:r w:rsidRPr="00F9478A">
              <w:rPr>
                <w:sz w:val="20"/>
                <w:lang w:val="en-US"/>
              </w:rPr>
              <w:t> </w:t>
            </w:r>
            <w:r w:rsidRPr="00F9478A">
              <w:rPr>
                <w:sz w:val="20"/>
                <w:lang w:val="en-US"/>
              </w:rPr>
              <w:t> </w:t>
            </w:r>
            <w:r w:rsidRPr="00F9478A">
              <w:rPr>
                <w:sz w:val="20"/>
                <w:lang w:val="en-US"/>
              </w:rPr>
              <w:fldChar w:fldCharType="end"/>
            </w:r>
          </w:p>
        </w:tc>
        <w:tc>
          <w:tcPr>
            <w:tcW w:w="123" w:type="pct"/>
            <w:vMerge w:val="restart"/>
          </w:tcPr>
          <w:p w14:paraId="55607880" w14:textId="77777777" w:rsidR="00E84306" w:rsidRPr="00F9478A" w:rsidRDefault="00E84306">
            <w:pPr>
              <w:rPr>
                <w:sz w:val="20"/>
                <w:lang w:val="en-US"/>
              </w:rPr>
            </w:pPr>
          </w:p>
        </w:tc>
        <w:tc>
          <w:tcPr>
            <w:tcW w:w="2554" w:type="pct"/>
            <w:tcBorders>
              <w:bottom w:val="single" w:sz="2" w:space="0" w:color="auto"/>
            </w:tcBorders>
          </w:tcPr>
          <w:p w14:paraId="55607881" w14:textId="77777777" w:rsidR="00E84306" w:rsidRPr="00F9478A" w:rsidRDefault="00E84306">
            <w:pPr>
              <w:rPr>
                <w:sz w:val="20"/>
                <w:lang w:val="en-US"/>
              </w:rPr>
            </w:pPr>
          </w:p>
        </w:tc>
      </w:tr>
      <w:tr w:rsidR="00E84306" w:rsidRPr="00F9478A" w14:paraId="55607886" w14:textId="77777777">
        <w:trPr>
          <w:gridAfter w:val="1"/>
          <w:wAfter w:w="3" w:type="pct"/>
        </w:trPr>
        <w:tc>
          <w:tcPr>
            <w:tcW w:w="2320" w:type="pct"/>
            <w:tcBorders>
              <w:top w:val="single" w:sz="2" w:space="0" w:color="auto"/>
            </w:tcBorders>
          </w:tcPr>
          <w:p w14:paraId="55607883" w14:textId="77777777" w:rsidR="00E84306" w:rsidRPr="00F9478A" w:rsidRDefault="00E84306">
            <w:pPr>
              <w:rPr>
                <w:lang w:val="en-US"/>
              </w:rPr>
            </w:pPr>
            <w:r w:rsidRPr="00F9478A">
              <w:rPr>
                <w:sz w:val="14"/>
                <w:lang w:val="en-US"/>
              </w:rPr>
              <w:t xml:space="preserve">Place and date </w:t>
            </w:r>
          </w:p>
        </w:tc>
        <w:tc>
          <w:tcPr>
            <w:tcW w:w="123" w:type="pct"/>
            <w:vMerge/>
          </w:tcPr>
          <w:p w14:paraId="55607884" w14:textId="77777777" w:rsidR="00E84306" w:rsidRPr="00F9478A" w:rsidRDefault="00E84306">
            <w:pPr>
              <w:rPr>
                <w:sz w:val="14"/>
                <w:lang w:val="en-US"/>
              </w:rPr>
            </w:pPr>
          </w:p>
        </w:tc>
        <w:tc>
          <w:tcPr>
            <w:tcW w:w="2554" w:type="pct"/>
            <w:tcBorders>
              <w:top w:val="single" w:sz="2" w:space="0" w:color="auto"/>
            </w:tcBorders>
          </w:tcPr>
          <w:p w14:paraId="55607885" w14:textId="77777777" w:rsidR="00E84306" w:rsidRPr="00F9478A" w:rsidRDefault="00E84306">
            <w:pPr>
              <w:rPr>
                <w:lang w:val="en-US"/>
              </w:rPr>
            </w:pPr>
            <w:r w:rsidRPr="00F9478A">
              <w:rPr>
                <w:sz w:val="14"/>
                <w:lang w:val="en-US"/>
              </w:rPr>
              <w:t>Signature of beneficiary</w:t>
            </w:r>
          </w:p>
        </w:tc>
      </w:tr>
      <w:tr w:rsidR="00E84306" w:rsidRPr="00F9478A" w14:paraId="5560788A" w14:textId="77777777">
        <w:trPr>
          <w:trHeight w:val="283"/>
        </w:trPr>
        <w:tc>
          <w:tcPr>
            <w:tcW w:w="2320" w:type="pct"/>
          </w:tcPr>
          <w:p w14:paraId="55607887" w14:textId="77777777" w:rsidR="00E84306" w:rsidRPr="00F9478A" w:rsidRDefault="00E84306">
            <w:pPr>
              <w:pStyle w:val="Header"/>
              <w:tabs>
                <w:tab w:val="left" w:pos="6120"/>
              </w:tabs>
              <w:rPr>
                <w:sz w:val="20"/>
                <w:lang w:val="en-US"/>
              </w:rPr>
            </w:pPr>
          </w:p>
        </w:tc>
        <w:tc>
          <w:tcPr>
            <w:tcW w:w="123" w:type="pct"/>
            <w:vMerge w:val="restart"/>
          </w:tcPr>
          <w:p w14:paraId="55607888" w14:textId="77777777" w:rsidR="00E84306" w:rsidRPr="00F9478A" w:rsidRDefault="00E84306">
            <w:pPr>
              <w:pStyle w:val="Header"/>
              <w:tabs>
                <w:tab w:val="left" w:pos="6120"/>
              </w:tabs>
              <w:rPr>
                <w:sz w:val="20"/>
                <w:lang w:val="en-US"/>
              </w:rPr>
            </w:pPr>
          </w:p>
        </w:tc>
        <w:tc>
          <w:tcPr>
            <w:tcW w:w="2557" w:type="pct"/>
            <w:gridSpan w:val="2"/>
            <w:tcBorders>
              <w:bottom w:val="single" w:sz="2" w:space="0" w:color="auto"/>
            </w:tcBorders>
          </w:tcPr>
          <w:p w14:paraId="55607889" w14:textId="77777777" w:rsidR="00E84306" w:rsidRPr="00F9478A" w:rsidRDefault="00E84306">
            <w:pPr>
              <w:rPr>
                <w:sz w:val="20"/>
                <w:lang w:val="en-US"/>
              </w:rPr>
            </w:pPr>
          </w:p>
        </w:tc>
      </w:tr>
      <w:tr w:rsidR="00E84306" w:rsidRPr="00F9478A" w14:paraId="5560788E" w14:textId="77777777">
        <w:tc>
          <w:tcPr>
            <w:tcW w:w="2320" w:type="pct"/>
          </w:tcPr>
          <w:p w14:paraId="5560788B" w14:textId="77777777" w:rsidR="00E84306" w:rsidRPr="00F9478A" w:rsidRDefault="00E84306">
            <w:pPr>
              <w:rPr>
                <w:sz w:val="14"/>
                <w:lang w:val="en-US"/>
              </w:rPr>
            </w:pPr>
          </w:p>
        </w:tc>
        <w:tc>
          <w:tcPr>
            <w:tcW w:w="123" w:type="pct"/>
            <w:vMerge/>
          </w:tcPr>
          <w:p w14:paraId="5560788C" w14:textId="77777777" w:rsidR="00E84306" w:rsidRPr="00F9478A" w:rsidRDefault="00E84306">
            <w:pPr>
              <w:rPr>
                <w:sz w:val="14"/>
                <w:lang w:val="en-US"/>
              </w:rPr>
            </w:pPr>
          </w:p>
        </w:tc>
        <w:tc>
          <w:tcPr>
            <w:tcW w:w="2557" w:type="pct"/>
            <w:gridSpan w:val="2"/>
            <w:tcBorders>
              <w:top w:val="single" w:sz="2" w:space="0" w:color="auto"/>
            </w:tcBorders>
          </w:tcPr>
          <w:p w14:paraId="5560788D" w14:textId="77777777" w:rsidR="00E84306" w:rsidRPr="00F9478A" w:rsidRDefault="00E84306">
            <w:pPr>
              <w:rPr>
                <w:lang w:val="en-US"/>
              </w:rPr>
            </w:pPr>
            <w:r w:rsidRPr="00F9478A">
              <w:rPr>
                <w:sz w:val="14"/>
                <w:lang w:val="en-US"/>
              </w:rPr>
              <w:t>Signature of parent/guardian if beneficiary is under 18</w:t>
            </w:r>
          </w:p>
        </w:tc>
      </w:tr>
    </w:tbl>
    <w:p w14:paraId="5560788F" w14:textId="77777777" w:rsidR="00E84306" w:rsidRPr="00A02422" w:rsidRDefault="00E84306">
      <w:pPr>
        <w:rPr>
          <w:rStyle w:val="SubtleEmphasis"/>
          <w:sz w:val="8"/>
          <w:szCs w:val="14"/>
          <w:lang w:val="en-US"/>
        </w:rPr>
      </w:pPr>
    </w:p>
    <w:p w14:paraId="55607890" w14:textId="77777777" w:rsidR="00E84306" w:rsidRPr="005204BD" w:rsidRDefault="00E84306">
      <w:pPr>
        <w:jc w:val="both"/>
        <w:rPr>
          <w:sz w:val="16"/>
          <w:szCs w:val="16"/>
          <w:lang w:val="en-US"/>
        </w:rPr>
      </w:pPr>
      <w:r w:rsidRPr="005204BD">
        <w:rPr>
          <w:rStyle w:val="SubtleEmphasis"/>
          <w:sz w:val="16"/>
          <w:szCs w:val="16"/>
          <w:lang w:val="en-US"/>
        </w:rPr>
        <w:t xml:space="preserve">If the customer chooses to sign this document electronically instead of physically, all the persons signing must sign the document electronically. In such case this document is signed in confirmation of the above with a valid electronic signature. </w:t>
      </w:r>
      <w:r w:rsidRPr="005204BD">
        <w:rPr>
          <w:sz w:val="16"/>
          <w:szCs w:val="16"/>
          <w:lang w:val="en-US"/>
        </w:rPr>
        <w:t xml:space="preserve">The electronic signature of this document is in accordance with Act No. 55/2019 on Electronic Identification and Trust Services for Electronic Transactions. </w:t>
      </w:r>
      <w:r w:rsidRPr="005204BD">
        <w:rPr>
          <w:rStyle w:val="SubtleEmphasis"/>
          <w:sz w:val="16"/>
          <w:szCs w:val="16"/>
          <w:lang w:val="en-US"/>
        </w:rPr>
        <w:t>This document is signed electronically and is then stored and accessible to customers under Digital documents in Online Banking and/or sent to the customer by e-mail.</w:t>
      </w:r>
    </w:p>
    <w:p w14:paraId="55607891" w14:textId="77777777" w:rsidR="00E84306" w:rsidRPr="00C4105D" w:rsidRDefault="00E84306">
      <w:pPr>
        <w:spacing w:after="200" w:line="276" w:lineRule="auto"/>
        <w:rPr>
          <w:rStyle w:val="SubtleEmphasis"/>
          <w:sz w:val="12"/>
          <w:szCs w:val="18"/>
          <w:lang w:val="en-US"/>
        </w:rPr>
      </w:pPr>
      <w:r w:rsidRPr="00C4105D">
        <w:rPr>
          <w:rStyle w:val="SubtleEmphasis"/>
          <w:sz w:val="12"/>
          <w:szCs w:val="18"/>
          <w:lang w:val="en-US"/>
        </w:rPr>
        <w:br w:type="page"/>
      </w:r>
    </w:p>
    <w:tbl>
      <w:tblPr>
        <w:tblW w:w="5000" w:type="pct"/>
        <w:tblLayout w:type="fixed"/>
        <w:tblLook w:val="04A0" w:firstRow="1" w:lastRow="0" w:firstColumn="1" w:lastColumn="0" w:noHBand="0" w:noVBand="1"/>
      </w:tblPr>
      <w:tblGrid>
        <w:gridCol w:w="7566"/>
        <w:gridCol w:w="2298"/>
      </w:tblGrid>
      <w:tr w:rsidR="00E84306" w:rsidRPr="00F9478A" w14:paraId="55607894" w14:textId="77777777">
        <w:tc>
          <w:tcPr>
            <w:tcW w:w="3835" w:type="pct"/>
          </w:tcPr>
          <w:p w14:paraId="55607892" w14:textId="77777777" w:rsidR="00E84306" w:rsidRPr="00F9478A" w:rsidRDefault="00AB797D">
            <w:pPr>
              <w:rPr>
                <w:rFonts w:ascii="Malgun Gothic" w:eastAsia="Malgun Gothic"/>
                <w:b/>
                <w:color w:val="19488C"/>
                <w:spacing w:val="20"/>
                <w:kern w:val="28"/>
                <w:lang w:val="en-US"/>
              </w:rPr>
            </w:pPr>
            <w:r w:rsidRPr="00F9478A">
              <w:rPr>
                <w:rFonts w:ascii="Arial" w:hAnsi="Arial"/>
                <w:b/>
                <w:color w:val="19488C"/>
                <w:spacing w:val="20"/>
                <w:kern w:val="28"/>
                <w:sz w:val="28"/>
                <w:lang w:val="en-US"/>
              </w:rPr>
              <w:lastRenderedPageBreak/>
              <w:t>Arion Supplementary Savings</w:t>
            </w:r>
            <w:r w:rsidR="00E84306" w:rsidRPr="00F9478A">
              <w:rPr>
                <w:rFonts w:ascii="Arial" w:hAnsi="Arial"/>
                <w:b/>
                <w:color w:val="19488C"/>
                <w:spacing w:val="20"/>
                <w:kern w:val="28"/>
                <w:sz w:val="28"/>
                <w:lang w:val="en-US"/>
              </w:rPr>
              <w:t xml:space="preserve"> - Lífeyrisauki</w:t>
            </w:r>
          </w:p>
        </w:tc>
        <w:tc>
          <w:tcPr>
            <w:tcW w:w="1165" w:type="pct"/>
          </w:tcPr>
          <w:p w14:paraId="55607893" w14:textId="77777777" w:rsidR="00E84306" w:rsidRPr="00F9478A" w:rsidRDefault="009C63C9">
            <w:pPr>
              <w:tabs>
                <w:tab w:val="left" w:pos="646"/>
              </w:tabs>
              <w:jc w:val="right"/>
              <w:rPr>
                <w:sz w:val="20"/>
                <w:lang w:val="en-US"/>
              </w:rPr>
            </w:pPr>
            <w:r w:rsidRPr="00F9478A">
              <w:rPr>
                <w:noProof/>
                <w:snapToGrid/>
                <w:lang w:val="en-US"/>
              </w:rPr>
              <w:drawing>
                <wp:anchor distT="0" distB="0" distL="114300" distR="114300" simplePos="0" relativeHeight="251658241" behindDoc="1" locked="0" layoutInCell="1" allowOverlap="1" wp14:anchorId="556078C3" wp14:editId="556078C4">
                  <wp:simplePos x="0" y="0"/>
                  <wp:positionH relativeFrom="column">
                    <wp:posOffset>247650</wp:posOffset>
                  </wp:positionH>
                  <wp:positionV relativeFrom="page">
                    <wp:posOffset>-2540</wp:posOffset>
                  </wp:positionV>
                  <wp:extent cx="1144905" cy="24828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11794" t="30518" r="12254" b="33659"/>
                          <a:stretch>
                            <a:fillRect/>
                          </a:stretch>
                        </pic:blipFill>
                        <pic:spPr bwMode="auto">
                          <a:xfrm>
                            <a:off x="0" y="0"/>
                            <a:ext cx="1144905" cy="2482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84306" w:rsidRPr="00F9478A" w14:paraId="55607897" w14:textId="77777777">
        <w:trPr>
          <w:trHeight w:val="397"/>
        </w:trPr>
        <w:tc>
          <w:tcPr>
            <w:tcW w:w="3835" w:type="pct"/>
            <w:vAlign w:val="center"/>
          </w:tcPr>
          <w:p w14:paraId="55607895" w14:textId="77777777" w:rsidR="00E84306" w:rsidRPr="00F9478A" w:rsidRDefault="00AB797D">
            <w:pPr>
              <w:rPr>
                <w:rFonts w:ascii="Malgun Gothic" w:eastAsia="Malgun Gothic"/>
                <w:color w:val="19488C"/>
                <w:spacing w:val="15"/>
                <w:sz w:val="22"/>
                <w:lang w:val="en-US"/>
              </w:rPr>
            </w:pPr>
            <w:r w:rsidRPr="00F9478A">
              <w:rPr>
                <w:rFonts w:ascii="Arial" w:hAnsi="Arial"/>
                <w:color w:val="19488C"/>
                <w:spacing w:val="15"/>
                <w:lang w:val="en-US"/>
              </w:rPr>
              <w:t>Agreement on supplementary savings</w:t>
            </w:r>
          </w:p>
        </w:tc>
        <w:tc>
          <w:tcPr>
            <w:tcW w:w="1165" w:type="pct"/>
            <w:vAlign w:val="bottom"/>
          </w:tcPr>
          <w:p w14:paraId="55607896" w14:textId="77777777" w:rsidR="00E84306" w:rsidRPr="00F9478A" w:rsidRDefault="00E84306">
            <w:pPr>
              <w:jc w:val="right"/>
              <w:rPr>
                <w:sz w:val="20"/>
                <w:lang w:val="en-US"/>
              </w:rPr>
            </w:pPr>
          </w:p>
        </w:tc>
      </w:tr>
    </w:tbl>
    <w:p w14:paraId="55607898" w14:textId="77777777" w:rsidR="00E84306" w:rsidRPr="00A74F9C" w:rsidRDefault="00E84306">
      <w:pPr>
        <w:rPr>
          <w:rStyle w:val="SubtleEmphasis"/>
          <w:sz w:val="16"/>
          <w:szCs w:val="22"/>
          <w:lang w:val="en-US"/>
        </w:rPr>
      </w:pPr>
    </w:p>
    <w:p w14:paraId="55607899" w14:textId="77777777" w:rsidR="00E84306" w:rsidRPr="00F9478A" w:rsidRDefault="00E84306">
      <w:pPr>
        <w:rPr>
          <w:spacing w:val="20"/>
          <w:sz w:val="18"/>
          <w:lang w:val="en-US"/>
        </w:rPr>
      </w:pPr>
      <w:r w:rsidRPr="00F9478A">
        <w:rPr>
          <w:spacing w:val="20"/>
          <w:sz w:val="18"/>
          <w:lang w:val="en-US"/>
        </w:rPr>
        <w:t>R</w:t>
      </w:r>
      <w:r w:rsidR="00AB797D" w:rsidRPr="00F9478A">
        <w:rPr>
          <w:spacing w:val="20"/>
          <w:sz w:val="18"/>
          <w:lang w:val="en-US"/>
        </w:rPr>
        <w:t xml:space="preserve">ULES ON </w:t>
      </w:r>
      <w:r w:rsidRPr="00F9478A">
        <w:rPr>
          <w:spacing w:val="20"/>
          <w:sz w:val="18"/>
          <w:lang w:val="en-US"/>
        </w:rPr>
        <w:t>LÍFEYRISAUK</w:t>
      </w:r>
      <w:r w:rsidR="00AB797D" w:rsidRPr="00F9478A">
        <w:rPr>
          <w:spacing w:val="20"/>
          <w:sz w:val="18"/>
          <w:lang w:val="en-US"/>
        </w:rPr>
        <w:t>I</w:t>
      </w:r>
    </w:p>
    <w:p w14:paraId="5560789A" w14:textId="77777777" w:rsidR="00E84306" w:rsidRPr="00A74F9C" w:rsidRDefault="00E84306">
      <w:pPr>
        <w:rPr>
          <w:rStyle w:val="SubtleEmphasis"/>
          <w:sz w:val="10"/>
          <w:lang w:val="en-US"/>
        </w:rPr>
      </w:pPr>
    </w:p>
    <w:tbl>
      <w:tblPr>
        <w:tblW w:w="5000" w:type="pct"/>
        <w:tblLayout w:type="fixed"/>
        <w:tblLook w:val="01E0" w:firstRow="1" w:lastRow="1" w:firstColumn="1" w:lastColumn="1" w:noHBand="0" w:noVBand="0"/>
      </w:tblPr>
      <w:tblGrid>
        <w:gridCol w:w="4820"/>
        <w:gridCol w:w="5044"/>
      </w:tblGrid>
      <w:tr w:rsidR="00E84306" w:rsidRPr="00F9478A" w14:paraId="556078BF" w14:textId="77777777">
        <w:tc>
          <w:tcPr>
            <w:tcW w:w="2443" w:type="pct"/>
          </w:tcPr>
          <w:p w14:paraId="5560789B" w14:textId="77777777" w:rsidR="00E84306" w:rsidRPr="00A74F9C" w:rsidRDefault="00B86765" w:rsidP="00A74F9C">
            <w:pPr>
              <w:autoSpaceDE w:val="0"/>
              <w:autoSpaceDN w:val="0"/>
              <w:adjustRightInd w:val="0"/>
              <w:jc w:val="both"/>
              <w:rPr>
                <w:b/>
                <w:sz w:val="14"/>
                <w:szCs w:val="14"/>
                <w:lang w:val="en-US"/>
              </w:rPr>
            </w:pPr>
            <w:r w:rsidRPr="00A74F9C">
              <w:rPr>
                <w:b/>
                <w:sz w:val="14"/>
                <w:szCs w:val="14"/>
                <w:lang w:val="en-US"/>
              </w:rPr>
              <w:t xml:space="preserve">Article </w:t>
            </w:r>
            <w:r w:rsidR="00E84306" w:rsidRPr="00A74F9C">
              <w:rPr>
                <w:b/>
                <w:sz w:val="14"/>
                <w:szCs w:val="14"/>
                <w:lang w:val="en-US"/>
              </w:rPr>
              <w:t>1 Custody agreements on pension savings</w:t>
            </w:r>
          </w:p>
          <w:p w14:paraId="5560789C" w14:textId="77777777" w:rsidR="00E84306" w:rsidRPr="00A74F9C" w:rsidRDefault="00E84306" w:rsidP="00A74F9C">
            <w:pPr>
              <w:autoSpaceDE w:val="0"/>
              <w:autoSpaceDN w:val="0"/>
              <w:adjustRightInd w:val="0"/>
              <w:jc w:val="both"/>
              <w:rPr>
                <w:sz w:val="14"/>
                <w:szCs w:val="14"/>
                <w:lang w:val="en-US"/>
              </w:rPr>
            </w:pPr>
            <w:r w:rsidRPr="00A74F9C">
              <w:rPr>
                <w:sz w:val="14"/>
                <w:szCs w:val="14"/>
                <w:lang w:val="en-US"/>
              </w:rPr>
              <w:t>These rules apply to agreements on pension savings created on the basis of Section II of Act no. 129/1997 on the Mandatory Insurance of Pension Rights and the Activities of Pension Funds. Anyone fulfilling the provisions of the aforementioned Act on the payment of contributions for minimum insurance benefits at a pension fund can become a member of Lífeyrisauki.  By signing an agreement on Lífeyrisauki, the beneficiary agrees to abide by these rules.</w:t>
            </w:r>
          </w:p>
          <w:p w14:paraId="5560789D" w14:textId="77777777" w:rsidR="00E84306" w:rsidRPr="00A74F9C" w:rsidRDefault="00B86765" w:rsidP="00A74F9C">
            <w:pPr>
              <w:tabs>
                <w:tab w:val="left" w:pos="4180"/>
              </w:tabs>
              <w:autoSpaceDE w:val="0"/>
              <w:autoSpaceDN w:val="0"/>
              <w:adjustRightInd w:val="0"/>
              <w:jc w:val="both"/>
              <w:rPr>
                <w:b/>
                <w:sz w:val="14"/>
                <w:szCs w:val="14"/>
                <w:lang w:val="en-US"/>
              </w:rPr>
            </w:pPr>
            <w:r w:rsidRPr="00A74F9C">
              <w:rPr>
                <w:b/>
                <w:sz w:val="14"/>
                <w:szCs w:val="14"/>
                <w:lang w:val="en-US"/>
              </w:rPr>
              <w:t xml:space="preserve">Article </w:t>
            </w:r>
            <w:r w:rsidR="00E84306" w:rsidRPr="00A74F9C">
              <w:rPr>
                <w:b/>
                <w:sz w:val="14"/>
                <w:szCs w:val="14"/>
                <w:lang w:val="en-US"/>
              </w:rPr>
              <w:t>2 The employer receives a copy of the agreement</w:t>
            </w:r>
            <w:r w:rsidR="00E84306" w:rsidRPr="00A74F9C">
              <w:rPr>
                <w:b/>
                <w:sz w:val="14"/>
                <w:szCs w:val="14"/>
                <w:lang w:val="en-US"/>
              </w:rPr>
              <w:tab/>
            </w:r>
          </w:p>
          <w:p w14:paraId="5560789E" w14:textId="77777777" w:rsidR="00E84306" w:rsidRPr="00A74F9C" w:rsidRDefault="00E84306" w:rsidP="00A74F9C">
            <w:pPr>
              <w:autoSpaceDE w:val="0"/>
              <w:autoSpaceDN w:val="0"/>
              <w:adjustRightInd w:val="0"/>
              <w:jc w:val="both"/>
              <w:rPr>
                <w:sz w:val="14"/>
                <w:szCs w:val="14"/>
                <w:lang w:val="en-US"/>
              </w:rPr>
            </w:pPr>
            <w:r w:rsidRPr="00A74F9C">
              <w:rPr>
                <w:sz w:val="14"/>
                <w:szCs w:val="14"/>
                <w:lang w:val="en-US"/>
              </w:rPr>
              <w:t xml:space="preserve">When an agreement on pension savings has been signed, Arion Bank hf. will send a copy of the agreement to the employer. </w:t>
            </w:r>
          </w:p>
          <w:p w14:paraId="5560789F" w14:textId="77777777" w:rsidR="00E84306" w:rsidRPr="00A74F9C" w:rsidRDefault="00B86765" w:rsidP="00A74F9C">
            <w:pPr>
              <w:autoSpaceDE w:val="0"/>
              <w:autoSpaceDN w:val="0"/>
              <w:adjustRightInd w:val="0"/>
              <w:jc w:val="both"/>
              <w:rPr>
                <w:b/>
                <w:sz w:val="14"/>
                <w:szCs w:val="14"/>
                <w:lang w:val="en-US"/>
              </w:rPr>
            </w:pPr>
            <w:r w:rsidRPr="00A74F9C">
              <w:rPr>
                <w:b/>
                <w:sz w:val="14"/>
                <w:szCs w:val="14"/>
                <w:lang w:val="en-US"/>
              </w:rPr>
              <w:t xml:space="preserve">Article </w:t>
            </w:r>
            <w:r w:rsidR="00E84306" w:rsidRPr="00A74F9C">
              <w:rPr>
                <w:b/>
                <w:sz w:val="14"/>
                <w:szCs w:val="14"/>
                <w:lang w:val="en-US"/>
              </w:rPr>
              <w:t>3 Contributions</w:t>
            </w:r>
          </w:p>
          <w:p w14:paraId="556078A0" w14:textId="77777777" w:rsidR="00E84306" w:rsidRPr="00A74F9C" w:rsidRDefault="00E84306" w:rsidP="00A74F9C">
            <w:pPr>
              <w:autoSpaceDE w:val="0"/>
              <w:autoSpaceDN w:val="0"/>
              <w:adjustRightInd w:val="0"/>
              <w:jc w:val="both"/>
              <w:rPr>
                <w:sz w:val="14"/>
                <w:szCs w:val="14"/>
                <w:lang w:val="en-US"/>
              </w:rPr>
            </w:pPr>
            <w:r w:rsidRPr="00A74F9C">
              <w:rPr>
                <w:sz w:val="14"/>
                <w:szCs w:val="14"/>
                <w:lang w:val="en-US"/>
              </w:rPr>
              <w:t xml:space="preserve">Contributions shall be paid monthly. Contributions for each period are due on the 10th day of the following month. The final due date shall be the last day of the month in which the contribution falls due. In the agreement on Lífeyrisauki the amount shall be specified in Icelandic krónur (ISK) or as a percentage of salary. Contributions shall start being paid no less than two months after the signing of the agreement on Lífeyrisauki. Contributions are made as set out in the agreement on Lífeyrisauki, unless agreed otherwise in a separate agreement later. </w:t>
            </w:r>
          </w:p>
          <w:p w14:paraId="556078A1" w14:textId="77777777" w:rsidR="00E84306" w:rsidRPr="00A74F9C" w:rsidRDefault="00E84306" w:rsidP="00A74F9C">
            <w:pPr>
              <w:autoSpaceDE w:val="0"/>
              <w:autoSpaceDN w:val="0"/>
              <w:adjustRightInd w:val="0"/>
              <w:jc w:val="both"/>
              <w:rPr>
                <w:sz w:val="14"/>
                <w:szCs w:val="14"/>
                <w:lang w:val="en-US"/>
              </w:rPr>
            </w:pPr>
            <w:r w:rsidRPr="00A74F9C">
              <w:rPr>
                <w:sz w:val="14"/>
                <w:szCs w:val="14"/>
                <w:lang w:val="en-US"/>
              </w:rPr>
              <w:t>Arion Bank hf. must invest paid contributions as specified in this agreement from the day that the bank receives contributions from the beneficiary. If the breakdown sheet (Icelandic: skilagrein) is received from the employer later than the contribution, Arion Bank is obliged to calculate interest from the date the breakdown sheet is registered in accordance with the investment plan specified in the agreement, provided that the Bank has not been able to specifically identify the funds of the beneficiary for whom the employer is paying a contribution.   Contributions bear the same interest as paid on Arion Bank's “Fjárhæðaþrep”  account from the time they are received by the custodian until the breakdown sheet is registered.</w:t>
            </w:r>
          </w:p>
          <w:p w14:paraId="556078A2" w14:textId="77777777" w:rsidR="00E84306" w:rsidRPr="00A74F9C" w:rsidRDefault="00B86765" w:rsidP="00A74F9C">
            <w:pPr>
              <w:autoSpaceDE w:val="0"/>
              <w:autoSpaceDN w:val="0"/>
              <w:adjustRightInd w:val="0"/>
              <w:jc w:val="both"/>
              <w:rPr>
                <w:b/>
                <w:sz w:val="14"/>
                <w:szCs w:val="14"/>
                <w:lang w:val="en-US"/>
              </w:rPr>
            </w:pPr>
            <w:r w:rsidRPr="00A74F9C">
              <w:rPr>
                <w:b/>
                <w:sz w:val="14"/>
                <w:szCs w:val="14"/>
                <w:lang w:val="en-US"/>
              </w:rPr>
              <w:t xml:space="preserve">Article </w:t>
            </w:r>
            <w:r w:rsidR="00E84306" w:rsidRPr="00A74F9C">
              <w:rPr>
                <w:b/>
                <w:sz w:val="14"/>
                <w:szCs w:val="14"/>
                <w:lang w:val="en-US"/>
              </w:rPr>
              <w:t>4 Investment of contributions</w:t>
            </w:r>
          </w:p>
          <w:p w14:paraId="556078A3" w14:textId="77777777" w:rsidR="00E84306" w:rsidRPr="00A74F9C" w:rsidRDefault="00E84306" w:rsidP="00A74F9C">
            <w:pPr>
              <w:autoSpaceDE w:val="0"/>
              <w:autoSpaceDN w:val="0"/>
              <w:adjustRightInd w:val="0"/>
              <w:jc w:val="both"/>
              <w:rPr>
                <w:sz w:val="14"/>
                <w:szCs w:val="14"/>
                <w:lang w:val="en-US"/>
              </w:rPr>
            </w:pPr>
            <w:r w:rsidRPr="00A74F9C">
              <w:rPr>
                <w:sz w:val="14"/>
                <w:szCs w:val="14"/>
                <w:lang w:val="en-US"/>
              </w:rPr>
              <w:t xml:space="preserve">Under this agreement on Lífeyrisauki the beneficiary decides how the contribution is invested in accordance with a pre-determined investment strategy. It is permitted to use some of the contribution to buy health insurance. The payment of insurance benefits is covered by Article 7 of these rules. Until benefits are paid out they should be invested in accordance with the investment plan decided by the beneficiary. The beneficiary can change their decision with respect to future contributions by informing Arion Bank hf. in writing. </w:t>
            </w:r>
          </w:p>
          <w:p w14:paraId="556078A4" w14:textId="77777777" w:rsidR="00E84306" w:rsidRPr="00A74F9C" w:rsidRDefault="00B86765" w:rsidP="00A74F9C">
            <w:pPr>
              <w:autoSpaceDE w:val="0"/>
              <w:autoSpaceDN w:val="0"/>
              <w:adjustRightInd w:val="0"/>
              <w:jc w:val="both"/>
              <w:rPr>
                <w:b/>
                <w:sz w:val="14"/>
                <w:szCs w:val="14"/>
                <w:lang w:val="en-US"/>
              </w:rPr>
            </w:pPr>
            <w:r w:rsidRPr="00A74F9C">
              <w:rPr>
                <w:b/>
                <w:sz w:val="14"/>
                <w:szCs w:val="14"/>
                <w:lang w:val="en-US"/>
              </w:rPr>
              <w:t xml:space="preserve">Article </w:t>
            </w:r>
            <w:r w:rsidR="00E84306" w:rsidRPr="00A74F9C">
              <w:rPr>
                <w:b/>
                <w:sz w:val="14"/>
                <w:szCs w:val="14"/>
                <w:lang w:val="en-US"/>
              </w:rPr>
              <w:t>5 Investment plans</w:t>
            </w:r>
          </w:p>
          <w:p w14:paraId="556078A5" w14:textId="77777777" w:rsidR="00E84306" w:rsidRPr="00A74F9C" w:rsidRDefault="00E84306" w:rsidP="00A74F9C">
            <w:pPr>
              <w:autoSpaceDE w:val="0"/>
              <w:autoSpaceDN w:val="0"/>
              <w:adjustRightInd w:val="0"/>
              <w:jc w:val="both"/>
              <w:rPr>
                <w:sz w:val="14"/>
                <w:szCs w:val="14"/>
                <w:lang w:val="en-US"/>
              </w:rPr>
            </w:pPr>
            <w:r w:rsidRPr="00A74F9C">
              <w:rPr>
                <w:sz w:val="14"/>
                <w:szCs w:val="14"/>
                <w:lang w:val="en-US"/>
              </w:rPr>
              <w:t xml:space="preserve">Beneficiaries of Lífeyrisauki can choose between a number of different investment plans to invest their savings. The investment options vary in the proportion of equities to other financial instruments such as bonds and bills and bank deposits in the asset portfolio. Beneficiaries can transfer their assets between different investment plans. The cost of transferring assets shall be in accordance with Arion Bank’s current list of rates and charges but can be a maximum of 0.5% of the beneficiary’s savings.  Beneficiaries can also choose to be transferred automatically between these investment plans according to Life Line at no cost. This means that the funds are transferred between investment plans in equal stages over a period of five years.  Contributions which are received after savings have been transferred between investment plans, are deposited entirely into the new investment plan. In cases where investments are made in foreign currencies, the policy is to use currency hedges in order to reduce the risk posed by changes in the exchange rate. Arion Bank hf. undertakes asset management in accordance with the fund's strategy, but it is permitted to outsource asset management to Stefnir hf. </w:t>
            </w:r>
          </w:p>
          <w:p w14:paraId="556078A6" w14:textId="77777777" w:rsidR="00E84306" w:rsidRPr="00A74F9C" w:rsidRDefault="00B86765" w:rsidP="00A74F9C">
            <w:pPr>
              <w:jc w:val="both"/>
              <w:rPr>
                <w:b/>
                <w:sz w:val="14"/>
                <w:szCs w:val="14"/>
                <w:lang w:val="en-US"/>
              </w:rPr>
            </w:pPr>
            <w:r w:rsidRPr="00A74F9C">
              <w:rPr>
                <w:b/>
                <w:sz w:val="14"/>
                <w:szCs w:val="14"/>
                <w:lang w:val="en-US"/>
              </w:rPr>
              <w:t xml:space="preserve">Article </w:t>
            </w:r>
            <w:r w:rsidR="00E84306" w:rsidRPr="00A74F9C">
              <w:rPr>
                <w:b/>
                <w:sz w:val="14"/>
                <w:szCs w:val="14"/>
                <w:lang w:val="en-US"/>
              </w:rPr>
              <w:t>6  Investment of contributions relating to new agreement</w:t>
            </w:r>
          </w:p>
          <w:p w14:paraId="556078A7" w14:textId="77777777" w:rsidR="00E84306" w:rsidRPr="00A74F9C" w:rsidRDefault="00E84306" w:rsidP="00A74F9C">
            <w:pPr>
              <w:autoSpaceDE w:val="0"/>
              <w:autoSpaceDN w:val="0"/>
              <w:adjustRightInd w:val="0"/>
              <w:jc w:val="both"/>
              <w:rPr>
                <w:sz w:val="14"/>
                <w:szCs w:val="14"/>
                <w:lang w:val="en-US"/>
              </w:rPr>
            </w:pPr>
            <w:r w:rsidRPr="00A74F9C">
              <w:rPr>
                <w:sz w:val="14"/>
                <w:szCs w:val="14"/>
                <w:lang w:val="en-US"/>
              </w:rPr>
              <w:t xml:space="preserve">If there is already an agreement with the beneficiary on this matter or if the beneficiary’s contributions have been received without an agreement having been made, then the new agreement supersedes the old agreement or arrangement, i.e. future contributions from all employers will be invested in accordance with the most recent agreement of the beneficiary.  If the beneficiary chooses the investment plan Life Line but has accumulated savings in another investment plan, these savings will be transferred to the investment plan under Life Line. However, savings In plans which do not belong to Life Line will not be transferred according to the above. If, however, the beneficiary chooses a different investment plan to Life Line but has accumulated savings in Life Line, these savings will remain in the investment plan under Life Line but will not subsequently be transferred in accordance with the rules on Life Line.  </w:t>
            </w:r>
          </w:p>
          <w:p w14:paraId="556078A8" w14:textId="77777777" w:rsidR="00E84306" w:rsidRPr="00A74F9C" w:rsidRDefault="00B86765" w:rsidP="00A74F9C">
            <w:pPr>
              <w:autoSpaceDE w:val="0"/>
              <w:autoSpaceDN w:val="0"/>
              <w:adjustRightInd w:val="0"/>
              <w:jc w:val="both"/>
              <w:rPr>
                <w:b/>
                <w:sz w:val="14"/>
                <w:szCs w:val="14"/>
                <w:lang w:val="en-US"/>
              </w:rPr>
            </w:pPr>
            <w:r w:rsidRPr="00A74F9C">
              <w:rPr>
                <w:b/>
                <w:sz w:val="14"/>
                <w:szCs w:val="14"/>
                <w:lang w:val="en-US"/>
              </w:rPr>
              <w:t xml:space="preserve">Article </w:t>
            </w:r>
            <w:r w:rsidR="00E84306" w:rsidRPr="00A74F9C">
              <w:rPr>
                <w:b/>
                <w:sz w:val="14"/>
                <w:szCs w:val="14"/>
                <w:lang w:val="en-US"/>
              </w:rPr>
              <w:t>7 Paying out savings</w:t>
            </w:r>
          </w:p>
          <w:p w14:paraId="556078A9" w14:textId="77777777" w:rsidR="00E84306" w:rsidRPr="00A74F9C" w:rsidRDefault="00E84306" w:rsidP="00A74F9C">
            <w:pPr>
              <w:autoSpaceDE w:val="0"/>
              <w:autoSpaceDN w:val="0"/>
              <w:adjustRightInd w:val="0"/>
              <w:jc w:val="both"/>
              <w:rPr>
                <w:sz w:val="14"/>
                <w:szCs w:val="14"/>
                <w:lang w:val="en-US"/>
              </w:rPr>
            </w:pPr>
            <w:r w:rsidRPr="00A74F9C">
              <w:rPr>
                <w:sz w:val="14"/>
                <w:szCs w:val="14"/>
                <w:lang w:val="en-US"/>
              </w:rPr>
              <w:t xml:space="preserve">Savings can only be paid out on account of the beneficiary's age, disability or death. The beneficiary may begin to withdraw savings or enter into a special payout agreement two years after making the first contributions. When the beneficiary reaches the age of 60, pension savings plus interest can be paid out.  </w:t>
            </w:r>
          </w:p>
          <w:p w14:paraId="556078AA" w14:textId="77777777" w:rsidR="00E84306" w:rsidRPr="00A74F9C" w:rsidRDefault="00E84306" w:rsidP="00A74F9C">
            <w:pPr>
              <w:autoSpaceDE w:val="0"/>
              <w:autoSpaceDN w:val="0"/>
              <w:adjustRightInd w:val="0"/>
              <w:jc w:val="both"/>
              <w:rPr>
                <w:sz w:val="14"/>
                <w:szCs w:val="14"/>
                <w:lang w:val="en-US"/>
              </w:rPr>
            </w:pPr>
          </w:p>
        </w:tc>
        <w:tc>
          <w:tcPr>
            <w:tcW w:w="2557" w:type="pct"/>
          </w:tcPr>
          <w:p w14:paraId="556078AB" w14:textId="77777777" w:rsidR="00E84306" w:rsidRPr="00A74F9C" w:rsidRDefault="00E84306" w:rsidP="00A74F9C">
            <w:pPr>
              <w:autoSpaceDE w:val="0"/>
              <w:autoSpaceDN w:val="0"/>
              <w:adjustRightInd w:val="0"/>
              <w:jc w:val="both"/>
              <w:rPr>
                <w:sz w:val="14"/>
                <w:szCs w:val="14"/>
                <w:lang w:val="en-US"/>
              </w:rPr>
            </w:pPr>
            <w:r w:rsidRPr="00A74F9C">
              <w:rPr>
                <w:sz w:val="14"/>
                <w:szCs w:val="14"/>
                <w:lang w:val="en-US"/>
              </w:rPr>
              <w:t>Should a beneficiary die before the savings are fully paid out, the savings shall become the property of their heirs and be divided amongst them in accordance with the rules of the Inheritance Act. Should a beneficiary have neither a spouse nor children the savings shall accrue to the beneficiary’s estate, in which case the limitation in the second sentence of the second paragraph of Article 8 of Act No. 129/1997 shall not apply.</w:t>
            </w:r>
          </w:p>
          <w:p w14:paraId="556078AC" w14:textId="77777777" w:rsidR="00E84306" w:rsidRPr="00A74F9C" w:rsidRDefault="00E84306" w:rsidP="00A74F9C">
            <w:pPr>
              <w:autoSpaceDE w:val="0"/>
              <w:autoSpaceDN w:val="0"/>
              <w:adjustRightInd w:val="0"/>
              <w:jc w:val="both"/>
              <w:rPr>
                <w:sz w:val="14"/>
                <w:szCs w:val="14"/>
                <w:lang w:val="en-US"/>
              </w:rPr>
            </w:pPr>
            <w:r w:rsidRPr="00A74F9C">
              <w:rPr>
                <w:sz w:val="14"/>
                <w:szCs w:val="14"/>
                <w:lang w:val="en-US"/>
              </w:rPr>
              <w:t xml:space="preserve">Should a beneficiary become disabled and suffer 100% loss of ability, they shall have the right to have their pension savings and interest paid out in equal annual instalments over a period of seven years. The annual payouts decrease and the withdrawal period lengthens in proportion to the decrease in the level of disability (expressed in %), cf. paragraph 3 of Article 11 of Act No. 129/1997. Payouts can only be made when a certificate showing the disability and loss of ability has been issued. If the savings of a beneficiary who has suffered a loss of ability are below ISK 500,000 when a payout is due then this sum can be paid out in a single lump sum if so requested. </w:t>
            </w:r>
          </w:p>
          <w:p w14:paraId="556078AD" w14:textId="77777777" w:rsidR="00E84306" w:rsidRPr="00A74F9C" w:rsidRDefault="00E84306" w:rsidP="00A74F9C">
            <w:pPr>
              <w:autoSpaceDE w:val="0"/>
              <w:autoSpaceDN w:val="0"/>
              <w:adjustRightInd w:val="0"/>
              <w:jc w:val="both"/>
              <w:rPr>
                <w:sz w:val="14"/>
                <w:szCs w:val="14"/>
                <w:lang w:val="en-US"/>
              </w:rPr>
            </w:pPr>
            <w:r w:rsidRPr="00A74F9C">
              <w:rPr>
                <w:sz w:val="14"/>
                <w:szCs w:val="14"/>
                <w:lang w:val="en-US"/>
              </w:rPr>
              <w:t>This reference amount shall change each year in relation to changes in the consumer price index and based on a basic index value of 173.5. It is possible to negotiate a longer payout period than the one specified above. Equal payments, as specified above, refer to payments equalled out over the number of years of payment in such a way that the beneficiary shall receive, each year, that portion of the savings plus interest equal to the number of years remaining of the repayment period.</w:t>
            </w:r>
          </w:p>
          <w:p w14:paraId="556078AE" w14:textId="77777777" w:rsidR="00E84306" w:rsidRPr="00A74F9C" w:rsidRDefault="00B86765" w:rsidP="00A74F9C">
            <w:pPr>
              <w:autoSpaceDE w:val="0"/>
              <w:autoSpaceDN w:val="0"/>
              <w:adjustRightInd w:val="0"/>
              <w:jc w:val="both"/>
              <w:rPr>
                <w:b/>
                <w:sz w:val="14"/>
                <w:szCs w:val="14"/>
                <w:lang w:val="en-US"/>
              </w:rPr>
            </w:pPr>
            <w:r w:rsidRPr="00A74F9C">
              <w:rPr>
                <w:b/>
                <w:sz w:val="14"/>
                <w:szCs w:val="14"/>
                <w:lang w:val="en-US"/>
              </w:rPr>
              <w:t xml:space="preserve">Article </w:t>
            </w:r>
            <w:r w:rsidR="00E84306" w:rsidRPr="00A74F9C">
              <w:rPr>
                <w:b/>
                <w:sz w:val="14"/>
                <w:szCs w:val="14"/>
                <w:lang w:val="en-US"/>
              </w:rPr>
              <w:t>8 Termination of the agreement</w:t>
            </w:r>
          </w:p>
          <w:p w14:paraId="556078AF" w14:textId="77777777" w:rsidR="00E84306" w:rsidRPr="00A74F9C" w:rsidRDefault="00E84306" w:rsidP="00A74F9C">
            <w:pPr>
              <w:autoSpaceDE w:val="0"/>
              <w:autoSpaceDN w:val="0"/>
              <w:adjustRightInd w:val="0"/>
              <w:jc w:val="both"/>
              <w:rPr>
                <w:sz w:val="14"/>
                <w:szCs w:val="14"/>
                <w:lang w:val="en-US"/>
              </w:rPr>
            </w:pPr>
            <w:r w:rsidRPr="00A74F9C">
              <w:rPr>
                <w:sz w:val="14"/>
                <w:szCs w:val="14"/>
                <w:lang w:val="en-US"/>
              </w:rPr>
              <w:t>The signature of the beneficiary on this agreement is not binding until 14 days after it is signed and the beneficiary is entitled to terminate the agreement before that date. This agreement can be terminated with two months’ notice. It must be terminated in writing and signed by the beneficiary. Termination does not entitle the beneficiary to a payout. If contributions stop being received by Arion Bank for any reason, the savings plus interest will continue to be invested at the Bank and will be paid out in accordance with the provisions of Article 7.</w:t>
            </w:r>
          </w:p>
          <w:p w14:paraId="556078B0" w14:textId="77777777" w:rsidR="00E84306" w:rsidRPr="00A74F9C" w:rsidRDefault="00B86765" w:rsidP="00A74F9C">
            <w:pPr>
              <w:autoSpaceDE w:val="0"/>
              <w:autoSpaceDN w:val="0"/>
              <w:adjustRightInd w:val="0"/>
              <w:jc w:val="both"/>
              <w:rPr>
                <w:b/>
                <w:sz w:val="14"/>
                <w:szCs w:val="14"/>
                <w:lang w:val="en-US"/>
              </w:rPr>
            </w:pPr>
            <w:r w:rsidRPr="00A74F9C">
              <w:rPr>
                <w:b/>
                <w:sz w:val="14"/>
                <w:szCs w:val="14"/>
                <w:lang w:val="en-US"/>
              </w:rPr>
              <w:t xml:space="preserve">Article </w:t>
            </w:r>
            <w:r w:rsidR="00E84306" w:rsidRPr="00A74F9C">
              <w:rPr>
                <w:b/>
                <w:sz w:val="14"/>
                <w:szCs w:val="14"/>
                <w:lang w:val="en-US"/>
              </w:rPr>
              <w:t>9  Transfer between custodians</w:t>
            </w:r>
          </w:p>
          <w:p w14:paraId="556078B1" w14:textId="77777777" w:rsidR="00E84306" w:rsidRPr="00A74F9C" w:rsidRDefault="00E84306" w:rsidP="00A74F9C">
            <w:pPr>
              <w:tabs>
                <w:tab w:val="left" w:pos="426"/>
              </w:tabs>
              <w:jc w:val="both"/>
              <w:rPr>
                <w:sz w:val="14"/>
                <w:szCs w:val="14"/>
                <w:lang w:val="en-US"/>
              </w:rPr>
            </w:pPr>
            <w:r w:rsidRPr="00A74F9C">
              <w:rPr>
                <w:sz w:val="14"/>
                <w:szCs w:val="14"/>
                <w:lang w:val="en-US"/>
              </w:rPr>
              <w:t xml:space="preserve">It is permitted to transfer the savings to another custodian who is able to offer agreements of this type, cf. paragraph 3 of Article 8 of Act No. 129/1997, if the beneficiary submits a written request to Arion Bank hf. The savings shall be transferred within two months of receiving such a request from the beneficiary. The cost of transferring assets shall be in accordance with Arion Bank’s current list of rates and charges but can be a maximum of 0.5% of the beneficiary’s savings and a minimum of ISK 5,000. </w:t>
            </w:r>
          </w:p>
          <w:p w14:paraId="556078B2" w14:textId="77777777" w:rsidR="00E84306" w:rsidRPr="00A74F9C" w:rsidRDefault="00B86765" w:rsidP="00A74F9C">
            <w:pPr>
              <w:autoSpaceDE w:val="0"/>
              <w:autoSpaceDN w:val="0"/>
              <w:adjustRightInd w:val="0"/>
              <w:jc w:val="both"/>
              <w:rPr>
                <w:b/>
                <w:sz w:val="14"/>
                <w:szCs w:val="14"/>
                <w:lang w:val="en-US"/>
              </w:rPr>
            </w:pPr>
            <w:r w:rsidRPr="00A74F9C">
              <w:rPr>
                <w:b/>
                <w:sz w:val="14"/>
                <w:szCs w:val="14"/>
                <w:lang w:val="en-US"/>
              </w:rPr>
              <w:t xml:space="preserve">Article </w:t>
            </w:r>
            <w:r w:rsidR="00E84306" w:rsidRPr="00A74F9C">
              <w:rPr>
                <w:b/>
                <w:sz w:val="14"/>
                <w:szCs w:val="14"/>
                <w:lang w:val="en-US"/>
              </w:rPr>
              <w:t>10 Transfer of rights</w:t>
            </w:r>
          </w:p>
          <w:p w14:paraId="556078B3" w14:textId="77777777" w:rsidR="00E84306" w:rsidRPr="00A74F9C" w:rsidRDefault="00E84306" w:rsidP="00A74F9C">
            <w:pPr>
              <w:autoSpaceDE w:val="0"/>
              <w:autoSpaceDN w:val="0"/>
              <w:adjustRightInd w:val="0"/>
              <w:jc w:val="both"/>
              <w:rPr>
                <w:sz w:val="14"/>
                <w:szCs w:val="14"/>
                <w:lang w:val="en-US"/>
              </w:rPr>
            </w:pPr>
            <w:r w:rsidRPr="00A74F9C">
              <w:rPr>
                <w:sz w:val="14"/>
                <w:szCs w:val="14"/>
                <w:lang w:val="en-US"/>
              </w:rPr>
              <w:t>The beneficiary is not permitted to transfer, pledge or dispose of in any other way the savings or rights pursuant to the agreement on membership of Lífeyrisauki, except as provided for in sub-paragraphs 1-3 of paragraph 3 of Article 14 of Act No. 129/1997.</w:t>
            </w:r>
          </w:p>
          <w:p w14:paraId="556078B4" w14:textId="77777777" w:rsidR="00E84306" w:rsidRPr="00A74F9C" w:rsidRDefault="00B86765" w:rsidP="00A74F9C">
            <w:pPr>
              <w:autoSpaceDE w:val="0"/>
              <w:autoSpaceDN w:val="0"/>
              <w:adjustRightInd w:val="0"/>
              <w:jc w:val="both"/>
              <w:rPr>
                <w:b/>
                <w:sz w:val="14"/>
                <w:szCs w:val="14"/>
                <w:lang w:val="en-US"/>
              </w:rPr>
            </w:pPr>
            <w:r w:rsidRPr="00A74F9C">
              <w:rPr>
                <w:b/>
                <w:sz w:val="14"/>
                <w:szCs w:val="14"/>
                <w:lang w:val="en-US"/>
              </w:rPr>
              <w:t xml:space="preserve">Article </w:t>
            </w:r>
            <w:r w:rsidR="00E84306" w:rsidRPr="00A74F9C">
              <w:rPr>
                <w:b/>
                <w:sz w:val="14"/>
                <w:szCs w:val="14"/>
                <w:lang w:val="en-US"/>
              </w:rPr>
              <w:t xml:space="preserve">11 Amending the rules </w:t>
            </w:r>
          </w:p>
          <w:p w14:paraId="556078B5" w14:textId="77777777" w:rsidR="00E84306" w:rsidRPr="00A74F9C" w:rsidRDefault="00E84306" w:rsidP="00A74F9C">
            <w:pPr>
              <w:autoSpaceDE w:val="0"/>
              <w:autoSpaceDN w:val="0"/>
              <w:adjustRightInd w:val="0"/>
              <w:jc w:val="both"/>
              <w:rPr>
                <w:sz w:val="14"/>
                <w:szCs w:val="14"/>
                <w:lang w:val="en-US"/>
              </w:rPr>
            </w:pPr>
            <w:r w:rsidRPr="00A74F9C">
              <w:rPr>
                <w:sz w:val="14"/>
                <w:szCs w:val="14"/>
                <w:lang w:val="en-US"/>
              </w:rPr>
              <w:t>Arion Bank hf. is permitted to amend these rules with the prior consent of the Minister of Finance.</w:t>
            </w:r>
          </w:p>
          <w:p w14:paraId="556078B6" w14:textId="77777777" w:rsidR="00E84306" w:rsidRPr="00A74F9C" w:rsidRDefault="00B86765" w:rsidP="00A74F9C">
            <w:pPr>
              <w:autoSpaceDE w:val="0"/>
              <w:autoSpaceDN w:val="0"/>
              <w:adjustRightInd w:val="0"/>
              <w:jc w:val="both"/>
              <w:rPr>
                <w:b/>
                <w:sz w:val="14"/>
                <w:szCs w:val="14"/>
                <w:lang w:val="en-US"/>
              </w:rPr>
            </w:pPr>
            <w:r w:rsidRPr="00A74F9C">
              <w:rPr>
                <w:b/>
                <w:sz w:val="14"/>
                <w:szCs w:val="14"/>
                <w:lang w:val="en-US"/>
              </w:rPr>
              <w:t xml:space="preserve">Article </w:t>
            </w:r>
            <w:r w:rsidR="00E84306" w:rsidRPr="00A74F9C">
              <w:rPr>
                <w:b/>
                <w:sz w:val="14"/>
                <w:szCs w:val="14"/>
                <w:lang w:val="en-US"/>
              </w:rPr>
              <w:t>12 Collection</w:t>
            </w:r>
          </w:p>
          <w:p w14:paraId="556078B7" w14:textId="77777777" w:rsidR="00E84306" w:rsidRPr="00A74F9C" w:rsidRDefault="00E84306" w:rsidP="00A74F9C">
            <w:pPr>
              <w:tabs>
                <w:tab w:val="left" w:pos="426"/>
              </w:tabs>
              <w:jc w:val="both"/>
              <w:rPr>
                <w:sz w:val="14"/>
                <w:szCs w:val="14"/>
                <w:lang w:val="en-US"/>
              </w:rPr>
            </w:pPr>
            <w:r w:rsidRPr="00A74F9C">
              <w:rPr>
                <w:sz w:val="14"/>
                <w:szCs w:val="14"/>
                <w:lang w:val="en-US"/>
              </w:rPr>
              <w:t>The beneficiary is responsible for ensuring that the employer makes pension contributions. If the beneficiary requests the assistance of Arion Bank hf. to collect contributions in arrears, this request should be made in writing and accompanied by pay slips showing the due contributions. In the event that the employer is declared insolvent, the Wage Guarantee Fund covers claims for due contributions provided that certain conditions have been met, cf. Chapter III of Rules no. 462/2003 on the Wage Guarantee Fund, www.arionbanki.is/lifeyrir..</w:t>
            </w:r>
          </w:p>
          <w:p w14:paraId="556078B8" w14:textId="77777777" w:rsidR="00E84306" w:rsidRPr="00A74F9C" w:rsidRDefault="00E84306" w:rsidP="00A74F9C">
            <w:pPr>
              <w:jc w:val="both"/>
              <w:rPr>
                <w:b/>
                <w:sz w:val="14"/>
                <w:szCs w:val="14"/>
                <w:lang w:val="en-US"/>
              </w:rPr>
            </w:pPr>
            <w:r w:rsidRPr="00A74F9C">
              <w:rPr>
                <w:b/>
                <w:sz w:val="14"/>
                <w:szCs w:val="14"/>
                <w:lang w:val="en-US"/>
              </w:rPr>
              <w:t xml:space="preserve">Rules which only apply to beneficiaries who have made an agreement on disability insurance from Vörður </w:t>
            </w:r>
          </w:p>
          <w:p w14:paraId="556078B9" w14:textId="77777777" w:rsidR="00E84306" w:rsidRPr="00A74F9C" w:rsidRDefault="00B86765" w:rsidP="00A74F9C">
            <w:pPr>
              <w:jc w:val="both"/>
              <w:rPr>
                <w:b/>
                <w:sz w:val="14"/>
                <w:szCs w:val="14"/>
                <w:lang w:val="en-US"/>
              </w:rPr>
            </w:pPr>
            <w:r w:rsidRPr="00A74F9C">
              <w:rPr>
                <w:b/>
                <w:sz w:val="14"/>
                <w:szCs w:val="14"/>
                <w:lang w:val="en-US"/>
              </w:rPr>
              <w:t xml:space="preserve">Article </w:t>
            </w:r>
            <w:r w:rsidR="00E84306" w:rsidRPr="00A74F9C">
              <w:rPr>
                <w:b/>
                <w:sz w:val="14"/>
                <w:szCs w:val="14"/>
                <w:lang w:val="en-US"/>
              </w:rPr>
              <w:t>1 General terms</w:t>
            </w:r>
          </w:p>
          <w:p w14:paraId="556078BA" w14:textId="77777777" w:rsidR="00E84306" w:rsidRPr="00A74F9C" w:rsidRDefault="00E84306" w:rsidP="00A74F9C">
            <w:pPr>
              <w:jc w:val="both"/>
              <w:rPr>
                <w:sz w:val="14"/>
                <w:szCs w:val="14"/>
                <w:lang w:val="en-US"/>
              </w:rPr>
            </w:pPr>
            <w:r w:rsidRPr="00A74F9C">
              <w:rPr>
                <w:sz w:val="14"/>
                <w:szCs w:val="14"/>
                <w:lang w:val="en-US"/>
              </w:rPr>
              <w:t xml:space="preserve">The general insurance terms of Vörður Tryggingar apply to disability insurance due to accident and illness (disability insurance). Arion Bank hf., which is the custodian of Lífeyrisauki, undertakes to use part of the contributions of the beneficiary, who is between 20 and 60 years of age, to pay contributions for disability insurance in accordance with an agreement between the beneficiary and Vörður Tryggingar hf.  In the event that Vörður líftryggingar hf. is required to pay insurance benefits in accordance with an insurance policy, Arion Bank hf. will receive the payment and invest it in the beneficiary’s investment plan/s in Lífeyrisauki. Once the terms on pay-outs of Article 11 of Act No. 129/1997 have been met, and in accordance with the current tax laws, supplementary pensions savings will be paid from Lífeyrisauki to the beneficiary. </w:t>
            </w:r>
          </w:p>
          <w:p w14:paraId="556078BB" w14:textId="77777777" w:rsidR="00E84306" w:rsidRPr="00A74F9C" w:rsidRDefault="00B86765" w:rsidP="00A74F9C">
            <w:pPr>
              <w:jc w:val="both"/>
              <w:rPr>
                <w:b/>
                <w:sz w:val="14"/>
                <w:szCs w:val="14"/>
                <w:lang w:val="en-US"/>
              </w:rPr>
            </w:pPr>
            <w:r w:rsidRPr="00A74F9C">
              <w:rPr>
                <w:b/>
                <w:sz w:val="14"/>
                <w:szCs w:val="14"/>
                <w:lang w:val="en-US"/>
              </w:rPr>
              <w:t xml:space="preserve">Article </w:t>
            </w:r>
            <w:r w:rsidR="00E84306" w:rsidRPr="00A74F9C">
              <w:rPr>
                <w:b/>
                <w:sz w:val="14"/>
                <w:szCs w:val="14"/>
                <w:lang w:val="en-US"/>
              </w:rPr>
              <w:t>2 Termination of disability insurance from Vörður.</w:t>
            </w:r>
          </w:p>
          <w:p w14:paraId="556078BC" w14:textId="77777777" w:rsidR="00E84306" w:rsidRPr="00A74F9C" w:rsidRDefault="00E84306" w:rsidP="00A74F9C">
            <w:pPr>
              <w:jc w:val="both"/>
              <w:rPr>
                <w:sz w:val="14"/>
                <w:szCs w:val="14"/>
                <w:lang w:val="en-US"/>
              </w:rPr>
            </w:pPr>
            <w:r w:rsidRPr="00A74F9C">
              <w:rPr>
                <w:sz w:val="14"/>
                <w:szCs w:val="14"/>
                <w:lang w:val="en-US"/>
              </w:rPr>
              <w:t>The termination of Lífeyrisauki also results in the termination of disability insurance from Vörður.</w:t>
            </w:r>
          </w:p>
          <w:p w14:paraId="556078BD" w14:textId="77777777" w:rsidR="00E84306" w:rsidRPr="00A74F9C" w:rsidRDefault="00E84306" w:rsidP="00A74F9C">
            <w:pPr>
              <w:tabs>
                <w:tab w:val="left" w:pos="426"/>
              </w:tabs>
              <w:jc w:val="both"/>
              <w:rPr>
                <w:b/>
                <w:sz w:val="14"/>
                <w:szCs w:val="14"/>
                <w:lang w:val="en-US"/>
              </w:rPr>
            </w:pPr>
            <w:r w:rsidRPr="00A74F9C">
              <w:rPr>
                <w:b/>
                <w:sz w:val="14"/>
                <w:szCs w:val="14"/>
                <w:lang w:val="en-US"/>
              </w:rPr>
              <w:t>Entry into force</w:t>
            </w:r>
          </w:p>
          <w:p w14:paraId="556078BE" w14:textId="77777777" w:rsidR="00E84306" w:rsidRPr="00A74F9C" w:rsidRDefault="00E84306" w:rsidP="00A74F9C">
            <w:pPr>
              <w:tabs>
                <w:tab w:val="left" w:pos="426"/>
              </w:tabs>
              <w:jc w:val="both"/>
              <w:rPr>
                <w:sz w:val="14"/>
                <w:szCs w:val="14"/>
                <w:lang w:val="en-US"/>
              </w:rPr>
            </w:pPr>
            <w:r w:rsidRPr="00A74F9C">
              <w:rPr>
                <w:sz w:val="14"/>
                <w:szCs w:val="14"/>
                <w:lang w:val="en-US"/>
              </w:rPr>
              <w:t xml:space="preserve">The rules will come into force at the beginning of next year following confirmation by the Ministry and simultaneous to the updated of Lífeyrisauki’s investment policy in accordance with Article 36 of Act No. 129/1997. </w:t>
            </w:r>
          </w:p>
        </w:tc>
      </w:tr>
    </w:tbl>
    <w:p w14:paraId="556078C0" w14:textId="77777777" w:rsidR="00E84306" w:rsidRPr="00F9478A" w:rsidRDefault="00E84306" w:rsidP="00A74F9C">
      <w:pPr>
        <w:jc w:val="both"/>
        <w:rPr>
          <w:rStyle w:val="SubtleEmphasis"/>
          <w:lang w:val="en-US"/>
        </w:rPr>
      </w:pPr>
    </w:p>
    <w:sectPr w:rsidR="00E84306" w:rsidRPr="00F9478A">
      <w:footerReference w:type="default" r:id="rId13"/>
      <w:pgSz w:w="11906" w:h="16838" w:code="9"/>
      <w:pgMar w:top="851" w:right="1021" w:bottom="851" w:left="1021"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B86F5" w14:textId="77777777" w:rsidR="00A959F4" w:rsidRPr="00E84306" w:rsidRDefault="00A959F4">
      <w:r w:rsidRPr="00E84306">
        <w:separator/>
      </w:r>
    </w:p>
  </w:endnote>
  <w:endnote w:type="continuationSeparator" w:id="0">
    <w:p w14:paraId="08696E96" w14:textId="77777777" w:rsidR="00A959F4" w:rsidRPr="00E84306" w:rsidRDefault="00A959F4">
      <w:r w:rsidRPr="00E843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Pr>
    <w:tblGrid>
      <w:gridCol w:w="3434"/>
      <w:gridCol w:w="2914"/>
      <w:gridCol w:w="3516"/>
    </w:tblGrid>
    <w:tr w:rsidR="00E84306" w:rsidRPr="00A74F9C" w14:paraId="556078CC" w14:textId="77777777">
      <w:trPr>
        <w:trHeight w:val="794"/>
      </w:trPr>
      <w:tc>
        <w:tcPr>
          <w:tcW w:w="1741" w:type="pct"/>
          <w:vAlign w:val="bottom"/>
        </w:tcPr>
        <w:p w14:paraId="556078C9" w14:textId="06D967F7" w:rsidR="00E84306" w:rsidRPr="00A74F9C" w:rsidRDefault="00E84306">
          <w:pPr>
            <w:rPr>
              <w:rStyle w:val="Emphasis"/>
              <w:iCs/>
            </w:rPr>
          </w:pPr>
          <w:bookmarkStart w:id="16" w:name="T_NR"/>
          <w:r w:rsidRPr="00A74F9C">
            <w:rPr>
              <w:rStyle w:val="Emphasis"/>
              <w:iCs/>
              <w:noProof/>
            </w:rPr>
            <w:t>Ebl.</w:t>
          </w:r>
          <w:r w:rsidRPr="00A74F9C">
            <w:rPr>
              <w:rStyle w:val="Emphasis"/>
              <w:iCs/>
            </w:rPr>
            <w:t xml:space="preserve"> </w:t>
          </w:r>
          <w:r w:rsidRPr="00A74F9C">
            <w:rPr>
              <w:rStyle w:val="Emphasis"/>
              <w:iCs/>
              <w:noProof/>
            </w:rPr>
            <w:t xml:space="preserve">18.2.1.4.3  /  </w:t>
          </w:r>
          <w:r w:rsidR="009A4A62">
            <w:rPr>
              <w:rStyle w:val="Emphasis"/>
              <w:iCs/>
              <w:noProof/>
            </w:rPr>
            <w:t>12</w:t>
          </w:r>
          <w:r w:rsidRPr="00A74F9C">
            <w:rPr>
              <w:rStyle w:val="Emphasis"/>
              <w:iCs/>
              <w:noProof/>
            </w:rPr>
            <w:t>.2</w:t>
          </w:r>
          <w:r w:rsidR="009A4A62">
            <w:rPr>
              <w:rStyle w:val="Emphasis"/>
              <w:iCs/>
              <w:noProof/>
            </w:rPr>
            <w:t>5</w:t>
          </w:r>
          <w:r w:rsidRPr="00A74F9C">
            <w:rPr>
              <w:rStyle w:val="Emphasis"/>
              <w:iCs/>
              <w:noProof/>
            </w:rPr>
            <w:t xml:space="preserve">  /  7 ár+</w:t>
          </w:r>
          <w:bookmarkEnd w:id="16"/>
        </w:p>
      </w:tc>
      <w:tc>
        <w:tcPr>
          <w:tcW w:w="1477" w:type="pct"/>
          <w:vAlign w:val="bottom"/>
        </w:tcPr>
        <w:p w14:paraId="556078CA" w14:textId="46941960" w:rsidR="00E84306" w:rsidRPr="00A74F9C" w:rsidRDefault="00A02422">
          <w:pPr>
            <w:jc w:val="center"/>
            <w:rPr>
              <w:rStyle w:val="Emphasis"/>
              <w:iCs/>
            </w:rPr>
          </w:pPr>
          <w:r>
            <w:rPr>
              <w:rStyle w:val="Emphasis"/>
              <w:iCs/>
              <w:noProof/>
            </w:rPr>
            <w:t>Page</w:t>
          </w:r>
          <w:r w:rsidR="00E84306" w:rsidRPr="00A74F9C">
            <w:rPr>
              <w:rStyle w:val="Emphasis"/>
              <w:iCs/>
              <w:noProof/>
            </w:rPr>
            <w:t xml:space="preserve"> </w:t>
          </w:r>
          <w:r w:rsidR="00E84306" w:rsidRPr="00A74F9C">
            <w:rPr>
              <w:rStyle w:val="Emphasis"/>
              <w:iCs/>
              <w:noProof/>
            </w:rPr>
            <w:fldChar w:fldCharType="begin"/>
          </w:r>
          <w:r w:rsidR="00E84306" w:rsidRPr="00A74F9C">
            <w:rPr>
              <w:rStyle w:val="Emphasis"/>
              <w:iCs/>
              <w:noProof/>
            </w:rPr>
            <w:instrText>PAGE</w:instrText>
          </w:r>
          <w:r w:rsidR="00E84306" w:rsidRPr="00A74F9C">
            <w:rPr>
              <w:rStyle w:val="Emphasis"/>
              <w:iCs/>
              <w:noProof/>
            </w:rPr>
            <w:fldChar w:fldCharType="separate"/>
          </w:r>
          <w:r w:rsidR="00E84306" w:rsidRPr="00A74F9C">
            <w:rPr>
              <w:rStyle w:val="Emphasis"/>
              <w:iCs/>
              <w:noProof/>
            </w:rPr>
            <w:t>1</w:t>
          </w:r>
          <w:r w:rsidR="00E84306" w:rsidRPr="00A74F9C">
            <w:rPr>
              <w:rStyle w:val="Emphasis"/>
              <w:iCs/>
              <w:noProof/>
            </w:rPr>
            <w:fldChar w:fldCharType="end"/>
          </w:r>
          <w:r w:rsidR="00E84306" w:rsidRPr="00A74F9C">
            <w:rPr>
              <w:rStyle w:val="Emphasis"/>
              <w:iCs/>
              <w:noProof/>
            </w:rPr>
            <w:t xml:space="preserve"> </w:t>
          </w:r>
          <w:r>
            <w:rPr>
              <w:rStyle w:val="Emphasis"/>
              <w:iCs/>
              <w:noProof/>
            </w:rPr>
            <w:t>o</w:t>
          </w:r>
          <w:r w:rsidR="00E84306" w:rsidRPr="00A74F9C">
            <w:rPr>
              <w:rStyle w:val="Emphasis"/>
              <w:iCs/>
              <w:noProof/>
            </w:rPr>
            <w:t xml:space="preserve">f </w:t>
          </w:r>
          <w:r w:rsidR="00E84306" w:rsidRPr="00A74F9C">
            <w:rPr>
              <w:rStyle w:val="Emphasis"/>
              <w:iCs/>
              <w:noProof/>
            </w:rPr>
            <w:fldChar w:fldCharType="begin"/>
          </w:r>
          <w:r w:rsidR="00E84306" w:rsidRPr="00A74F9C">
            <w:rPr>
              <w:rStyle w:val="Emphasis"/>
              <w:iCs/>
              <w:noProof/>
            </w:rPr>
            <w:instrText>NUMPAGES</w:instrText>
          </w:r>
          <w:r w:rsidR="00E84306" w:rsidRPr="00A74F9C">
            <w:rPr>
              <w:rStyle w:val="Emphasis"/>
              <w:iCs/>
              <w:noProof/>
            </w:rPr>
            <w:fldChar w:fldCharType="separate"/>
          </w:r>
          <w:r w:rsidR="00E84306" w:rsidRPr="00A74F9C">
            <w:rPr>
              <w:rStyle w:val="Emphasis"/>
              <w:iCs/>
              <w:noProof/>
            </w:rPr>
            <w:t>2</w:t>
          </w:r>
          <w:r w:rsidR="00E84306" w:rsidRPr="00A74F9C">
            <w:rPr>
              <w:rStyle w:val="Emphasis"/>
              <w:iCs/>
              <w:noProof/>
            </w:rPr>
            <w:fldChar w:fldCharType="end"/>
          </w:r>
        </w:p>
      </w:tc>
      <w:tc>
        <w:tcPr>
          <w:tcW w:w="1782" w:type="pct"/>
          <w:vAlign w:val="bottom"/>
        </w:tcPr>
        <w:p w14:paraId="556078CB" w14:textId="77777777" w:rsidR="00E84306" w:rsidRPr="00A74F9C" w:rsidRDefault="00E84306">
          <w:pPr>
            <w:jc w:val="right"/>
            <w:rPr>
              <w:rStyle w:val="Emphasis"/>
              <w:iCs/>
            </w:rPr>
          </w:pPr>
          <w:bookmarkStart w:id="17" w:name="STRIKAM"/>
          <w:bookmarkEnd w:id="17"/>
        </w:p>
      </w:tc>
    </w:tr>
  </w:tbl>
  <w:p w14:paraId="556078CD" w14:textId="77777777" w:rsidR="00E84306" w:rsidRPr="00A74F9C" w:rsidRDefault="00E84306">
    <w:pPr>
      <w:pStyle w:val="Footer"/>
      <w:rPr>
        <w:rStyle w:val="Emphasis"/>
        <w:iCs/>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9FFF" w14:textId="77777777" w:rsidR="00A959F4" w:rsidRPr="00E84306" w:rsidRDefault="00A959F4">
      <w:r w:rsidRPr="00E84306">
        <w:separator/>
      </w:r>
    </w:p>
  </w:footnote>
  <w:footnote w:type="continuationSeparator" w:id="0">
    <w:p w14:paraId="6C70C638" w14:textId="77777777" w:rsidR="00A959F4" w:rsidRPr="00E84306" w:rsidRDefault="00A959F4">
      <w:r w:rsidRPr="00E8430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hint="default"/>
      </w:rPr>
    </w:lvl>
    <w:lvl w:ilvl="1" w:tplc="040F0003" w:tentative="1">
      <w:start w:val="1"/>
      <w:numFmt w:val="bullet"/>
      <w:lvlText w:val="o"/>
      <w:lvlJc w:val="left"/>
      <w:pPr>
        <w:ind w:left="1181" w:hanging="360"/>
      </w:pPr>
      <w:rPr>
        <w:rFonts w:ascii="Courier New" w:hAnsi="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hint="default"/>
      </w:rPr>
    </w:lvl>
    <w:lvl w:ilvl="8" w:tplc="040F0005" w:tentative="1">
      <w:start w:val="1"/>
      <w:numFmt w:val="bullet"/>
      <w:lvlText w:val=""/>
      <w:lvlJc w:val="left"/>
      <w:pPr>
        <w:ind w:left="6221" w:hanging="360"/>
      </w:pPr>
      <w:rPr>
        <w:rFonts w:ascii="Wingdings" w:hAnsi="Wingdings" w:hint="default"/>
      </w:rPr>
    </w:lvl>
  </w:abstractNum>
  <w:abstractNum w:abstractNumId="1" w15:restartNumberingAfterBreak="0">
    <w:nsid w:val="110D43D1"/>
    <w:multiLevelType w:val="hybridMultilevel"/>
    <w:tmpl w:val="0B2035CE"/>
    <w:lvl w:ilvl="0" w:tplc="92483934">
      <w:numFmt w:val="bullet"/>
      <w:lvlText w:val="-"/>
      <w:lvlJc w:val="left"/>
      <w:pPr>
        <w:ind w:left="720" w:hanging="360"/>
      </w:pPr>
      <w:rPr>
        <w:rFonts w:ascii="Arial" w:eastAsia="Malgun Gothic"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F56D3"/>
    <w:multiLevelType w:val="hybridMultilevel"/>
    <w:tmpl w:val="55144768"/>
    <w:lvl w:ilvl="0" w:tplc="985EBC74">
      <w:numFmt w:val="bullet"/>
      <w:lvlText w:val="-"/>
      <w:lvlJc w:val="left"/>
      <w:pPr>
        <w:ind w:left="720" w:hanging="360"/>
      </w:pPr>
      <w:rPr>
        <w:rFonts w:ascii="Arial" w:eastAsia="Malgun Gothic"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04A14"/>
    <w:multiLevelType w:val="hybridMultilevel"/>
    <w:tmpl w:val="FE4AE4A8"/>
    <w:lvl w:ilvl="0" w:tplc="396C5728">
      <w:numFmt w:val="bullet"/>
      <w:lvlText w:val="-"/>
      <w:lvlJc w:val="left"/>
      <w:pPr>
        <w:ind w:left="720" w:hanging="360"/>
      </w:pPr>
      <w:rPr>
        <w:rFonts w:ascii="Arial" w:eastAsia="Malgun Gothic"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107CB"/>
    <w:multiLevelType w:val="hybridMultilevel"/>
    <w:tmpl w:val="616C0A56"/>
    <w:lvl w:ilvl="0" w:tplc="7568A124">
      <w:start w:val="18"/>
      <w:numFmt w:val="bullet"/>
      <w:lvlText w:val="-"/>
      <w:lvlJc w:val="left"/>
      <w:pPr>
        <w:ind w:left="720" w:hanging="360"/>
      </w:pPr>
      <w:rPr>
        <w:rFonts w:ascii="Arial" w:eastAsia="Malgun Gothic"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B523D"/>
    <w:multiLevelType w:val="hybridMultilevel"/>
    <w:tmpl w:val="6B4EFB40"/>
    <w:lvl w:ilvl="0" w:tplc="BE764F44">
      <w:start w:val="1"/>
      <w:numFmt w:val="bullet"/>
      <w:lvlText w:val="-"/>
      <w:lvlJc w:val="left"/>
      <w:pPr>
        <w:ind w:left="720" w:hanging="360"/>
      </w:pPr>
      <w:rPr>
        <w:rFonts w:ascii="Arial" w:eastAsia="Malgun Gothic"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266F3"/>
    <w:multiLevelType w:val="hybridMultilevel"/>
    <w:tmpl w:val="4F9ECF0C"/>
    <w:lvl w:ilvl="0" w:tplc="10C6BE9E">
      <w:numFmt w:val="bullet"/>
      <w:lvlText w:val="-"/>
      <w:lvlJc w:val="left"/>
      <w:pPr>
        <w:ind w:left="720" w:hanging="360"/>
      </w:pPr>
      <w:rPr>
        <w:rFonts w:ascii="Arial" w:eastAsia="Malgun Gothic"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4265B"/>
    <w:multiLevelType w:val="hybridMultilevel"/>
    <w:tmpl w:val="D6562914"/>
    <w:lvl w:ilvl="0" w:tplc="79424EC2">
      <w:start w:val="1"/>
      <w:numFmt w:val="bullet"/>
      <w:lvlText w:val="-"/>
      <w:lvlJc w:val="left"/>
      <w:pPr>
        <w:ind w:left="720" w:hanging="360"/>
      </w:pPr>
      <w:rPr>
        <w:rFonts w:ascii="Arial" w:eastAsia="Malgun Gothic"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12302"/>
    <w:multiLevelType w:val="hybridMultilevel"/>
    <w:tmpl w:val="5F14F8D8"/>
    <w:lvl w:ilvl="0" w:tplc="86B422B8">
      <w:start w:val="18"/>
      <w:numFmt w:val="bullet"/>
      <w:lvlText w:val="-"/>
      <w:lvlJc w:val="left"/>
      <w:pPr>
        <w:ind w:left="720" w:hanging="360"/>
      </w:pPr>
      <w:rPr>
        <w:rFonts w:ascii="Arial" w:eastAsia="Malgun Gothic"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8C3493"/>
    <w:multiLevelType w:val="hybridMultilevel"/>
    <w:tmpl w:val="8780D960"/>
    <w:lvl w:ilvl="0" w:tplc="DF2C59E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015588">
    <w:abstractNumId w:val="0"/>
  </w:num>
  <w:num w:numId="2" w16cid:durableId="238487700">
    <w:abstractNumId w:val="9"/>
  </w:num>
  <w:num w:numId="3" w16cid:durableId="1465276707">
    <w:abstractNumId w:val="5"/>
  </w:num>
  <w:num w:numId="4" w16cid:durableId="71977992">
    <w:abstractNumId w:val="7"/>
  </w:num>
  <w:num w:numId="5" w16cid:durableId="983318760">
    <w:abstractNumId w:val="4"/>
  </w:num>
  <w:num w:numId="6" w16cid:durableId="1456296033">
    <w:abstractNumId w:val="8"/>
  </w:num>
  <w:num w:numId="7" w16cid:durableId="217328565">
    <w:abstractNumId w:val="2"/>
  </w:num>
  <w:num w:numId="8" w16cid:durableId="638151231">
    <w:abstractNumId w:val="3"/>
  </w:num>
  <w:num w:numId="9" w16cid:durableId="91049735">
    <w:abstractNumId w:val="1"/>
  </w:num>
  <w:num w:numId="10" w16cid:durableId="7954849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P0H3zlFf1gXlgHBZJrc626mKo/yn7t3OIK60unYIn4LzHsqewWRt2Zdefl2/+5rqRzOD6IYQT3Q0349836eNQ==" w:salt="+6cT0eAUbwBvQdWYTKhIM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41"/>
    <w:rsid w:val="00003637"/>
    <w:rsid w:val="0001109B"/>
    <w:rsid w:val="00014BB2"/>
    <w:rsid w:val="0001542C"/>
    <w:rsid w:val="0002186B"/>
    <w:rsid w:val="000316D6"/>
    <w:rsid w:val="000400B0"/>
    <w:rsid w:val="00050A78"/>
    <w:rsid w:val="00051379"/>
    <w:rsid w:val="00052B58"/>
    <w:rsid w:val="00053966"/>
    <w:rsid w:val="00056CAD"/>
    <w:rsid w:val="00061E4B"/>
    <w:rsid w:val="00065F40"/>
    <w:rsid w:val="000670F0"/>
    <w:rsid w:val="00067C10"/>
    <w:rsid w:val="000712C2"/>
    <w:rsid w:val="000865A2"/>
    <w:rsid w:val="00092254"/>
    <w:rsid w:val="000A3670"/>
    <w:rsid w:val="000A4C45"/>
    <w:rsid w:val="000A70AC"/>
    <w:rsid w:val="000B69AA"/>
    <w:rsid w:val="000B6BB4"/>
    <w:rsid w:val="000C057D"/>
    <w:rsid w:val="000C4773"/>
    <w:rsid w:val="000C7583"/>
    <w:rsid w:val="000D2372"/>
    <w:rsid w:val="000D450F"/>
    <w:rsid w:val="000D518D"/>
    <w:rsid w:val="000E0508"/>
    <w:rsid w:val="000F45BC"/>
    <w:rsid w:val="000F46F4"/>
    <w:rsid w:val="000F63BC"/>
    <w:rsid w:val="0010014E"/>
    <w:rsid w:val="00101688"/>
    <w:rsid w:val="001046FC"/>
    <w:rsid w:val="00106FCD"/>
    <w:rsid w:val="00107552"/>
    <w:rsid w:val="00107FD9"/>
    <w:rsid w:val="0011046A"/>
    <w:rsid w:val="001151FE"/>
    <w:rsid w:val="001246E8"/>
    <w:rsid w:val="001264B8"/>
    <w:rsid w:val="001333FF"/>
    <w:rsid w:val="00145A92"/>
    <w:rsid w:val="001555E7"/>
    <w:rsid w:val="00161D01"/>
    <w:rsid w:val="0016419F"/>
    <w:rsid w:val="00174C7D"/>
    <w:rsid w:val="00181CDF"/>
    <w:rsid w:val="0018208B"/>
    <w:rsid w:val="00183356"/>
    <w:rsid w:val="001849A2"/>
    <w:rsid w:val="00187381"/>
    <w:rsid w:val="00187915"/>
    <w:rsid w:val="001A49D0"/>
    <w:rsid w:val="001A52B8"/>
    <w:rsid w:val="001A612A"/>
    <w:rsid w:val="001B1FE5"/>
    <w:rsid w:val="001B4971"/>
    <w:rsid w:val="001C4CB6"/>
    <w:rsid w:val="001D3164"/>
    <w:rsid w:val="001D3C7F"/>
    <w:rsid w:val="001D47EF"/>
    <w:rsid w:val="001D7C80"/>
    <w:rsid w:val="001E76A0"/>
    <w:rsid w:val="001F0D70"/>
    <w:rsid w:val="001F20A6"/>
    <w:rsid w:val="001F32D3"/>
    <w:rsid w:val="002015C2"/>
    <w:rsid w:val="00201A28"/>
    <w:rsid w:val="00201C47"/>
    <w:rsid w:val="0020502C"/>
    <w:rsid w:val="00212755"/>
    <w:rsid w:val="002177E2"/>
    <w:rsid w:val="00223911"/>
    <w:rsid w:val="002249EA"/>
    <w:rsid w:val="00226A97"/>
    <w:rsid w:val="00226BEE"/>
    <w:rsid w:val="002337FF"/>
    <w:rsid w:val="00247F0D"/>
    <w:rsid w:val="002515B8"/>
    <w:rsid w:val="00255CE0"/>
    <w:rsid w:val="00264715"/>
    <w:rsid w:val="00273B07"/>
    <w:rsid w:val="00277DDA"/>
    <w:rsid w:val="00281425"/>
    <w:rsid w:val="002A3E9B"/>
    <w:rsid w:val="002A6CAC"/>
    <w:rsid w:val="002A77C9"/>
    <w:rsid w:val="002B7689"/>
    <w:rsid w:val="002C0FBA"/>
    <w:rsid w:val="002C3E20"/>
    <w:rsid w:val="002C5818"/>
    <w:rsid w:val="002D01C8"/>
    <w:rsid w:val="002D73B6"/>
    <w:rsid w:val="002E39B3"/>
    <w:rsid w:val="002E3B80"/>
    <w:rsid w:val="002E4620"/>
    <w:rsid w:val="002E5ED1"/>
    <w:rsid w:val="002F5BF8"/>
    <w:rsid w:val="002F67E7"/>
    <w:rsid w:val="003030DE"/>
    <w:rsid w:val="00312A5B"/>
    <w:rsid w:val="00312C6E"/>
    <w:rsid w:val="00315427"/>
    <w:rsid w:val="00316016"/>
    <w:rsid w:val="0031688E"/>
    <w:rsid w:val="00330268"/>
    <w:rsid w:val="003337F8"/>
    <w:rsid w:val="0033386C"/>
    <w:rsid w:val="00334D21"/>
    <w:rsid w:val="00343B21"/>
    <w:rsid w:val="00344BCB"/>
    <w:rsid w:val="00352166"/>
    <w:rsid w:val="0035273C"/>
    <w:rsid w:val="003532FD"/>
    <w:rsid w:val="0036755E"/>
    <w:rsid w:val="0038063C"/>
    <w:rsid w:val="00382659"/>
    <w:rsid w:val="00385D0D"/>
    <w:rsid w:val="003900B6"/>
    <w:rsid w:val="00390490"/>
    <w:rsid w:val="00392C29"/>
    <w:rsid w:val="003937FD"/>
    <w:rsid w:val="003A25C4"/>
    <w:rsid w:val="003A26FB"/>
    <w:rsid w:val="003A3276"/>
    <w:rsid w:val="003A4A68"/>
    <w:rsid w:val="003A6A66"/>
    <w:rsid w:val="003B2698"/>
    <w:rsid w:val="003B36FD"/>
    <w:rsid w:val="003B669F"/>
    <w:rsid w:val="003C366E"/>
    <w:rsid w:val="003D31B6"/>
    <w:rsid w:val="003D365F"/>
    <w:rsid w:val="003E2D77"/>
    <w:rsid w:val="003F3003"/>
    <w:rsid w:val="00400FC7"/>
    <w:rsid w:val="0040390A"/>
    <w:rsid w:val="00405C3E"/>
    <w:rsid w:val="004062AC"/>
    <w:rsid w:val="00406D95"/>
    <w:rsid w:val="00410AD4"/>
    <w:rsid w:val="004131D1"/>
    <w:rsid w:val="0041741A"/>
    <w:rsid w:val="00421D63"/>
    <w:rsid w:val="00423AA5"/>
    <w:rsid w:val="00431386"/>
    <w:rsid w:val="00434C4F"/>
    <w:rsid w:val="004352AF"/>
    <w:rsid w:val="00441954"/>
    <w:rsid w:val="00442B74"/>
    <w:rsid w:val="00453971"/>
    <w:rsid w:val="00462E80"/>
    <w:rsid w:val="004631AD"/>
    <w:rsid w:val="0047039E"/>
    <w:rsid w:val="00471AC1"/>
    <w:rsid w:val="00472816"/>
    <w:rsid w:val="00472BAF"/>
    <w:rsid w:val="004736E5"/>
    <w:rsid w:val="004830E7"/>
    <w:rsid w:val="0048535C"/>
    <w:rsid w:val="00486999"/>
    <w:rsid w:val="00491BC6"/>
    <w:rsid w:val="004925B1"/>
    <w:rsid w:val="00495BC5"/>
    <w:rsid w:val="004A22A0"/>
    <w:rsid w:val="004A59CE"/>
    <w:rsid w:val="004B2F5A"/>
    <w:rsid w:val="004B77E1"/>
    <w:rsid w:val="004C62C8"/>
    <w:rsid w:val="004E1FCB"/>
    <w:rsid w:val="004E690F"/>
    <w:rsid w:val="004E6D71"/>
    <w:rsid w:val="004F578B"/>
    <w:rsid w:val="00502819"/>
    <w:rsid w:val="0050334D"/>
    <w:rsid w:val="0050681F"/>
    <w:rsid w:val="00507677"/>
    <w:rsid w:val="005204BD"/>
    <w:rsid w:val="00527D50"/>
    <w:rsid w:val="00527F36"/>
    <w:rsid w:val="0054111A"/>
    <w:rsid w:val="00541B83"/>
    <w:rsid w:val="0055096A"/>
    <w:rsid w:val="005517D0"/>
    <w:rsid w:val="0055604A"/>
    <w:rsid w:val="00560391"/>
    <w:rsid w:val="00566BCC"/>
    <w:rsid w:val="005832F3"/>
    <w:rsid w:val="005B17D0"/>
    <w:rsid w:val="005B47FD"/>
    <w:rsid w:val="005C1466"/>
    <w:rsid w:val="005C24C4"/>
    <w:rsid w:val="005C63FA"/>
    <w:rsid w:val="005D28B0"/>
    <w:rsid w:val="005D2EFC"/>
    <w:rsid w:val="005E20A1"/>
    <w:rsid w:val="00602F1D"/>
    <w:rsid w:val="00614B72"/>
    <w:rsid w:val="00616D94"/>
    <w:rsid w:val="00627B33"/>
    <w:rsid w:val="00633FAD"/>
    <w:rsid w:val="006344E4"/>
    <w:rsid w:val="0064465B"/>
    <w:rsid w:val="00662239"/>
    <w:rsid w:val="00665EA5"/>
    <w:rsid w:val="00667B1D"/>
    <w:rsid w:val="006763B3"/>
    <w:rsid w:val="006832B7"/>
    <w:rsid w:val="00691DBA"/>
    <w:rsid w:val="00696ACE"/>
    <w:rsid w:val="006A65FA"/>
    <w:rsid w:val="006A6AC7"/>
    <w:rsid w:val="006C3641"/>
    <w:rsid w:val="006C6E9C"/>
    <w:rsid w:val="006C76AF"/>
    <w:rsid w:val="006D686A"/>
    <w:rsid w:val="006E4E6D"/>
    <w:rsid w:val="006F26E4"/>
    <w:rsid w:val="006F392B"/>
    <w:rsid w:val="006F67B6"/>
    <w:rsid w:val="00732422"/>
    <w:rsid w:val="00737A1F"/>
    <w:rsid w:val="007447C2"/>
    <w:rsid w:val="007449B4"/>
    <w:rsid w:val="00745E42"/>
    <w:rsid w:val="007464D8"/>
    <w:rsid w:val="00747F03"/>
    <w:rsid w:val="00752E3D"/>
    <w:rsid w:val="007606C8"/>
    <w:rsid w:val="00763559"/>
    <w:rsid w:val="007639F1"/>
    <w:rsid w:val="00764623"/>
    <w:rsid w:val="00767075"/>
    <w:rsid w:val="00770A49"/>
    <w:rsid w:val="00777B0A"/>
    <w:rsid w:val="00777E67"/>
    <w:rsid w:val="0078479E"/>
    <w:rsid w:val="00785285"/>
    <w:rsid w:val="00786E56"/>
    <w:rsid w:val="007935A7"/>
    <w:rsid w:val="007950EB"/>
    <w:rsid w:val="007A008A"/>
    <w:rsid w:val="007A34DE"/>
    <w:rsid w:val="007A610F"/>
    <w:rsid w:val="007B03F5"/>
    <w:rsid w:val="007B19BF"/>
    <w:rsid w:val="007B4020"/>
    <w:rsid w:val="007C069E"/>
    <w:rsid w:val="007C36F0"/>
    <w:rsid w:val="007C581B"/>
    <w:rsid w:val="007C6EEC"/>
    <w:rsid w:val="007D02E3"/>
    <w:rsid w:val="007D02FC"/>
    <w:rsid w:val="007D1851"/>
    <w:rsid w:val="007D77EA"/>
    <w:rsid w:val="007E3CC4"/>
    <w:rsid w:val="007E5CC8"/>
    <w:rsid w:val="007E77D5"/>
    <w:rsid w:val="007F1FD5"/>
    <w:rsid w:val="007F423D"/>
    <w:rsid w:val="007F5287"/>
    <w:rsid w:val="00807E23"/>
    <w:rsid w:val="0081075F"/>
    <w:rsid w:val="008134AD"/>
    <w:rsid w:val="00817DA1"/>
    <w:rsid w:val="0082758C"/>
    <w:rsid w:val="0083033E"/>
    <w:rsid w:val="00832830"/>
    <w:rsid w:val="00833D2E"/>
    <w:rsid w:val="00834478"/>
    <w:rsid w:val="008472B0"/>
    <w:rsid w:val="0085610D"/>
    <w:rsid w:val="00860AE0"/>
    <w:rsid w:val="008649BB"/>
    <w:rsid w:val="00866FF1"/>
    <w:rsid w:val="00872F3A"/>
    <w:rsid w:val="00873C8F"/>
    <w:rsid w:val="00876318"/>
    <w:rsid w:val="00881115"/>
    <w:rsid w:val="008848C6"/>
    <w:rsid w:val="0088621A"/>
    <w:rsid w:val="00886A9F"/>
    <w:rsid w:val="00887DB8"/>
    <w:rsid w:val="008971DD"/>
    <w:rsid w:val="008979D1"/>
    <w:rsid w:val="008A04DF"/>
    <w:rsid w:val="008A35A7"/>
    <w:rsid w:val="008A5D8F"/>
    <w:rsid w:val="008B2FCC"/>
    <w:rsid w:val="008B3A02"/>
    <w:rsid w:val="008B57F6"/>
    <w:rsid w:val="008C1186"/>
    <w:rsid w:val="008C4593"/>
    <w:rsid w:val="008D2937"/>
    <w:rsid w:val="008D389D"/>
    <w:rsid w:val="008F40DD"/>
    <w:rsid w:val="00910D42"/>
    <w:rsid w:val="00923089"/>
    <w:rsid w:val="0092369F"/>
    <w:rsid w:val="00927A52"/>
    <w:rsid w:val="00930D10"/>
    <w:rsid w:val="00933171"/>
    <w:rsid w:val="00936048"/>
    <w:rsid w:val="0093642D"/>
    <w:rsid w:val="0094798B"/>
    <w:rsid w:val="00953C8C"/>
    <w:rsid w:val="00957D31"/>
    <w:rsid w:val="00957E1C"/>
    <w:rsid w:val="00961128"/>
    <w:rsid w:val="009619DA"/>
    <w:rsid w:val="009663F8"/>
    <w:rsid w:val="00966E07"/>
    <w:rsid w:val="00972AE3"/>
    <w:rsid w:val="009775E4"/>
    <w:rsid w:val="009824D6"/>
    <w:rsid w:val="00984AE4"/>
    <w:rsid w:val="0099164A"/>
    <w:rsid w:val="00996ADE"/>
    <w:rsid w:val="009A03C4"/>
    <w:rsid w:val="009A1D7E"/>
    <w:rsid w:val="009A4A62"/>
    <w:rsid w:val="009A5495"/>
    <w:rsid w:val="009A67C3"/>
    <w:rsid w:val="009A78DF"/>
    <w:rsid w:val="009B2ADB"/>
    <w:rsid w:val="009B2FC9"/>
    <w:rsid w:val="009C63C9"/>
    <w:rsid w:val="009D68BB"/>
    <w:rsid w:val="009D6F49"/>
    <w:rsid w:val="009E2783"/>
    <w:rsid w:val="009E65A0"/>
    <w:rsid w:val="009E7CFF"/>
    <w:rsid w:val="009F2572"/>
    <w:rsid w:val="00A0181F"/>
    <w:rsid w:val="00A02422"/>
    <w:rsid w:val="00A02ADE"/>
    <w:rsid w:val="00A03885"/>
    <w:rsid w:val="00A04698"/>
    <w:rsid w:val="00A05391"/>
    <w:rsid w:val="00A11386"/>
    <w:rsid w:val="00A13D89"/>
    <w:rsid w:val="00A1795A"/>
    <w:rsid w:val="00A25BF2"/>
    <w:rsid w:val="00A335A7"/>
    <w:rsid w:val="00A368D3"/>
    <w:rsid w:val="00A37E88"/>
    <w:rsid w:val="00A57949"/>
    <w:rsid w:val="00A61CAD"/>
    <w:rsid w:val="00A72E3E"/>
    <w:rsid w:val="00A74F9C"/>
    <w:rsid w:val="00A81D6B"/>
    <w:rsid w:val="00A86A18"/>
    <w:rsid w:val="00A915B4"/>
    <w:rsid w:val="00A959F4"/>
    <w:rsid w:val="00AA02B2"/>
    <w:rsid w:val="00AA342C"/>
    <w:rsid w:val="00AB07E6"/>
    <w:rsid w:val="00AB0BE1"/>
    <w:rsid w:val="00AB2182"/>
    <w:rsid w:val="00AB36AA"/>
    <w:rsid w:val="00AB797D"/>
    <w:rsid w:val="00AC03C8"/>
    <w:rsid w:val="00AC515B"/>
    <w:rsid w:val="00AD33B1"/>
    <w:rsid w:val="00AD5D2D"/>
    <w:rsid w:val="00AE0290"/>
    <w:rsid w:val="00AE105D"/>
    <w:rsid w:val="00AE1089"/>
    <w:rsid w:val="00AE1092"/>
    <w:rsid w:val="00AE3CEC"/>
    <w:rsid w:val="00AE680A"/>
    <w:rsid w:val="00AE69E3"/>
    <w:rsid w:val="00B025B0"/>
    <w:rsid w:val="00B0356D"/>
    <w:rsid w:val="00B05B9F"/>
    <w:rsid w:val="00B06230"/>
    <w:rsid w:val="00B20ADC"/>
    <w:rsid w:val="00B21BEB"/>
    <w:rsid w:val="00B23123"/>
    <w:rsid w:val="00B2400B"/>
    <w:rsid w:val="00B43EC8"/>
    <w:rsid w:val="00B462AE"/>
    <w:rsid w:val="00B47356"/>
    <w:rsid w:val="00B50243"/>
    <w:rsid w:val="00B555E3"/>
    <w:rsid w:val="00B61B0C"/>
    <w:rsid w:val="00B64106"/>
    <w:rsid w:val="00B64E35"/>
    <w:rsid w:val="00B65169"/>
    <w:rsid w:val="00B7073E"/>
    <w:rsid w:val="00B71929"/>
    <w:rsid w:val="00B77305"/>
    <w:rsid w:val="00B8095D"/>
    <w:rsid w:val="00B81B71"/>
    <w:rsid w:val="00B83B3F"/>
    <w:rsid w:val="00B86765"/>
    <w:rsid w:val="00B90686"/>
    <w:rsid w:val="00B952B8"/>
    <w:rsid w:val="00BA28BE"/>
    <w:rsid w:val="00BB05EB"/>
    <w:rsid w:val="00BC2EC3"/>
    <w:rsid w:val="00BC320C"/>
    <w:rsid w:val="00BC4E73"/>
    <w:rsid w:val="00BD1365"/>
    <w:rsid w:val="00BD5AC1"/>
    <w:rsid w:val="00BE05D1"/>
    <w:rsid w:val="00BE2036"/>
    <w:rsid w:val="00BE252D"/>
    <w:rsid w:val="00BE6143"/>
    <w:rsid w:val="00BE683C"/>
    <w:rsid w:val="00BE76D0"/>
    <w:rsid w:val="00BF16F5"/>
    <w:rsid w:val="00BF5401"/>
    <w:rsid w:val="00BF60A3"/>
    <w:rsid w:val="00BF6B91"/>
    <w:rsid w:val="00BF7FB0"/>
    <w:rsid w:val="00C01B05"/>
    <w:rsid w:val="00C03A11"/>
    <w:rsid w:val="00C06448"/>
    <w:rsid w:val="00C107B3"/>
    <w:rsid w:val="00C16C8A"/>
    <w:rsid w:val="00C172B0"/>
    <w:rsid w:val="00C208B5"/>
    <w:rsid w:val="00C30C88"/>
    <w:rsid w:val="00C32DD7"/>
    <w:rsid w:val="00C34E14"/>
    <w:rsid w:val="00C4105D"/>
    <w:rsid w:val="00C43926"/>
    <w:rsid w:val="00C45AF0"/>
    <w:rsid w:val="00C467DE"/>
    <w:rsid w:val="00C61126"/>
    <w:rsid w:val="00C62290"/>
    <w:rsid w:val="00C63D2E"/>
    <w:rsid w:val="00C72518"/>
    <w:rsid w:val="00C753C1"/>
    <w:rsid w:val="00C81E46"/>
    <w:rsid w:val="00C836C4"/>
    <w:rsid w:val="00C83721"/>
    <w:rsid w:val="00C84F02"/>
    <w:rsid w:val="00C86670"/>
    <w:rsid w:val="00C905A3"/>
    <w:rsid w:val="00C9446C"/>
    <w:rsid w:val="00CA1F66"/>
    <w:rsid w:val="00CA2AFD"/>
    <w:rsid w:val="00CB3919"/>
    <w:rsid w:val="00CB7A7B"/>
    <w:rsid w:val="00CD0B60"/>
    <w:rsid w:val="00CD5236"/>
    <w:rsid w:val="00CD7876"/>
    <w:rsid w:val="00CE44D8"/>
    <w:rsid w:val="00CE50B4"/>
    <w:rsid w:val="00CF3AAB"/>
    <w:rsid w:val="00CF3D42"/>
    <w:rsid w:val="00CF78B2"/>
    <w:rsid w:val="00D006A4"/>
    <w:rsid w:val="00D007E5"/>
    <w:rsid w:val="00D01A01"/>
    <w:rsid w:val="00D04C4F"/>
    <w:rsid w:val="00D1260B"/>
    <w:rsid w:val="00D12A36"/>
    <w:rsid w:val="00D234A4"/>
    <w:rsid w:val="00D3041B"/>
    <w:rsid w:val="00D30BE9"/>
    <w:rsid w:val="00D357CF"/>
    <w:rsid w:val="00D43A19"/>
    <w:rsid w:val="00D457B7"/>
    <w:rsid w:val="00D45F18"/>
    <w:rsid w:val="00D51726"/>
    <w:rsid w:val="00D5755D"/>
    <w:rsid w:val="00D61092"/>
    <w:rsid w:val="00D63F0A"/>
    <w:rsid w:val="00D712F7"/>
    <w:rsid w:val="00D81E82"/>
    <w:rsid w:val="00D82682"/>
    <w:rsid w:val="00D91CE1"/>
    <w:rsid w:val="00DA3791"/>
    <w:rsid w:val="00DA4AE0"/>
    <w:rsid w:val="00DB160B"/>
    <w:rsid w:val="00DB459D"/>
    <w:rsid w:val="00DC5728"/>
    <w:rsid w:val="00DC779C"/>
    <w:rsid w:val="00DE29A4"/>
    <w:rsid w:val="00DE4DD8"/>
    <w:rsid w:val="00DE501A"/>
    <w:rsid w:val="00DF0B20"/>
    <w:rsid w:val="00DF4C34"/>
    <w:rsid w:val="00DF4E6A"/>
    <w:rsid w:val="00DF5A11"/>
    <w:rsid w:val="00E02F7E"/>
    <w:rsid w:val="00E048BF"/>
    <w:rsid w:val="00E06342"/>
    <w:rsid w:val="00E12F6E"/>
    <w:rsid w:val="00E24429"/>
    <w:rsid w:val="00E30C5A"/>
    <w:rsid w:val="00E33CF0"/>
    <w:rsid w:val="00E36700"/>
    <w:rsid w:val="00E370B5"/>
    <w:rsid w:val="00E4065D"/>
    <w:rsid w:val="00E44AA9"/>
    <w:rsid w:val="00E5562F"/>
    <w:rsid w:val="00E63A9A"/>
    <w:rsid w:val="00E64462"/>
    <w:rsid w:val="00E722D4"/>
    <w:rsid w:val="00E77CE9"/>
    <w:rsid w:val="00E81A96"/>
    <w:rsid w:val="00E82352"/>
    <w:rsid w:val="00E84306"/>
    <w:rsid w:val="00E844F4"/>
    <w:rsid w:val="00E87908"/>
    <w:rsid w:val="00EA02CC"/>
    <w:rsid w:val="00EA295B"/>
    <w:rsid w:val="00EA45A1"/>
    <w:rsid w:val="00EB1BA4"/>
    <w:rsid w:val="00EB211B"/>
    <w:rsid w:val="00EB49A3"/>
    <w:rsid w:val="00EC3CBE"/>
    <w:rsid w:val="00EC658B"/>
    <w:rsid w:val="00EE5526"/>
    <w:rsid w:val="00EE5CCF"/>
    <w:rsid w:val="00EF7BFA"/>
    <w:rsid w:val="00F07A8C"/>
    <w:rsid w:val="00F11AC7"/>
    <w:rsid w:val="00F12CC3"/>
    <w:rsid w:val="00F16A1D"/>
    <w:rsid w:val="00F22978"/>
    <w:rsid w:val="00F3251E"/>
    <w:rsid w:val="00F3568A"/>
    <w:rsid w:val="00F35EDD"/>
    <w:rsid w:val="00F379D7"/>
    <w:rsid w:val="00F51177"/>
    <w:rsid w:val="00F528D8"/>
    <w:rsid w:val="00F54D71"/>
    <w:rsid w:val="00F60DAA"/>
    <w:rsid w:val="00F62B98"/>
    <w:rsid w:val="00F63AED"/>
    <w:rsid w:val="00F654FA"/>
    <w:rsid w:val="00F67052"/>
    <w:rsid w:val="00F70221"/>
    <w:rsid w:val="00F70591"/>
    <w:rsid w:val="00F817C2"/>
    <w:rsid w:val="00F84536"/>
    <w:rsid w:val="00F9251D"/>
    <w:rsid w:val="00F9478A"/>
    <w:rsid w:val="00F94DB6"/>
    <w:rsid w:val="00FB3E1A"/>
    <w:rsid w:val="00FC39D1"/>
    <w:rsid w:val="00FD1CAE"/>
    <w:rsid w:val="00FD5F3D"/>
    <w:rsid w:val="00FE01D0"/>
    <w:rsid w:val="00FE2FFF"/>
    <w:rsid w:val="00FE5471"/>
    <w:rsid w:val="00FE6A88"/>
    <w:rsid w:val="00FE76A7"/>
    <w:rsid w:val="00FF5E5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607819"/>
  <w14:defaultImageDpi w14:val="0"/>
  <w15:docId w15:val="{77714DAA-5547-4AD3-ADC2-770A600D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s-IS" w:eastAsia="is-IS" w:bidi="ar-SA"/>
      </w:rPr>
    </w:rPrDefault>
    <w:pPrDefault/>
  </w:docDefaults>
  <w:latentStyles w:defLockedState="0" w:defUIPriority="0" w:defSemiHidden="0" w:defUnhideWhenUsed="0" w:defQFormat="0" w:count="376">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napToGrid w:val="0"/>
      <w:sz w:val="24"/>
      <w:szCs w:val="24"/>
    </w:rPr>
  </w:style>
  <w:style w:type="paragraph" w:styleId="Heading1">
    <w:name w:val="heading 1"/>
    <w:basedOn w:val="Normal"/>
    <w:next w:val="Normal"/>
    <w:uiPriority w:val="9"/>
    <w:pPr>
      <w:keepNext/>
      <w:keepLines/>
      <w:spacing w:before="480"/>
      <w:outlineLvl w:val="0"/>
    </w:pPr>
    <w:rPr>
      <w:rFonts w:eastAsia="Malgun Gothic"/>
      <w:bCs/>
      <w:color w:val="BFBF00"/>
      <w:sz w:val="20"/>
      <w:szCs w:val="28"/>
    </w:rPr>
  </w:style>
  <w:style w:type="paragraph" w:styleId="Heading2">
    <w:name w:val="heading 2"/>
    <w:basedOn w:val="Normal"/>
    <w:next w:val="Normal"/>
    <w:uiPriority w:val="9"/>
    <w:pPr>
      <w:keepNext/>
      <w:jc w:val="center"/>
      <w:outlineLvl w:val="1"/>
    </w:pPr>
    <w:rPr>
      <w:rFonts w:ascii="Arial" w:hAnsi="Arial"/>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locked/>
    <w:rPr>
      <w:rFonts w:ascii="Calibri" w:eastAsia="Malgun Gothic" w:hAnsi="Calibri"/>
      <w:color w:val="BFBF00"/>
      <w:sz w:val="28"/>
    </w:rPr>
  </w:style>
  <w:style w:type="character" w:customStyle="1" w:styleId="Heading2Char">
    <w:name w:val="Heading 2 Char"/>
    <w:uiPriority w:val="9"/>
    <w:locked/>
    <w:rPr>
      <w:rFonts w:ascii="Arial" w:hAnsi="Arial"/>
      <w:sz w:val="20"/>
      <w:u w:val="single"/>
      <w:lang w:val="en-GB"/>
    </w:rPr>
  </w:style>
  <w:style w:type="paragraph" w:styleId="Title">
    <w:name w:val="Title"/>
    <w:aliases w:val="Titill"/>
    <w:basedOn w:val="Normal"/>
    <w:next w:val="Normal"/>
    <w:link w:val="TitleChar"/>
    <w:uiPriority w:val="10"/>
    <w:qFormat/>
    <w:rPr>
      <w:rFonts w:ascii="Arial" w:eastAsia="Malgun Gothic" w:hAnsi="Arial"/>
      <w:b/>
      <w:color w:val="19488C"/>
      <w:spacing w:val="20"/>
      <w:kern w:val="28"/>
      <w:szCs w:val="52"/>
    </w:rPr>
  </w:style>
  <w:style w:type="character" w:customStyle="1" w:styleId="TitleChar">
    <w:name w:val="Title Char"/>
    <w:aliases w:val="Titill Char"/>
    <w:link w:val="Title"/>
    <w:uiPriority w:val="10"/>
    <w:locked/>
    <w:rPr>
      <w:rFonts w:ascii="Arial" w:eastAsia="Malgun Gothic" w:hAnsi="Arial"/>
      <w:b/>
      <w:color w:val="19488C"/>
      <w:spacing w:val="20"/>
      <w:kern w:val="28"/>
      <w:sz w:val="52"/>
    </w:rPr>
  </w:style>
  <w:style w:type="table" w:styleId="TableGrid">
    <w:name w:val="Table Grid"/>
    <w:basedOn w:val="TableNormal"/>
    <w:uiPriority w:val="39"/>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imes New Roman" w:hAnsi="Times New Roman"/>
      <w:sz w:val="16"/>
      <w:szCs w:val="16"/>
    </w:rPr>
  </w:style>
  <w:style w:type="character" w:customStyle="1" w:styleId="BalloonTextChar">
    <w:name w:val="Balloon Text Char"/>
    <w:link w:val="BalloonText"/>
    <w:uiPriority w:val="99"/>
    <w:locked/>
    <w:rPr>
      <w:rFonts w:ascii="Times New Roman" w:hAnsi="Times New Roman"/>
      <w:sz w:val="16"/>
    </w:rPr>
  </w:style>
  <w:style w:type="paragraph" w:styleId="Subtitle">
    <w:name w:val="Subtitle"/>
    <w:aliases w:val="undirtitill"/>
    <w:basedOn w:val="Normal"/>
    <w:next w:val="Normal"/>
    <w:uiPriority w:val="11"/>
    <w:qFormat/>
    <w:pPr>
      <w:numPr>
        <w:ilvl w:val="1"/>
      </w:numPr>
    </w:pPr>
    <w:rPr>
      <w:rFonts w:ascii="Arial" w:eastAsia="Malgun Gothic" w:hAnsi="Arial"/>
      <w:iCs/>
      <w:color w:val="19488C"/>
      <w:spacing w:val="15"/>
      <w:sz w:val="22"/>
    </w:rPr>
  </w:style>
  <w:style w:type="character" w:customStyle="1" w:styleId="SubtitleChar">
    <w:name w:val="Subtitle Char"/>
    <w:aliases w:val="undirtitill Char"/>
    <w:uiPriority w:val="11"/>
    <w:rPr>
      <w:rFonts w:ascii="Cambria" w:eastAsia="Malgun Gothic" w:hAnsi="Cambria" w:cs="Times New Roman"/>
      <w:snapToGrid w:val="0"/>
      <w:sz w:val="24"/>
      <w:szCs w:val="24"/>
    </w:rPr>
  </w:style>
  <w:style w:type="character" w:customStyle="1" w:styleId="SubtitleChar1">
    <w:name w:val="Subtitle Char1"/>
    <w:aliases w:val="undirtitill Char1"/>
    <w:uiPriority w:val="11"/>
    <w:locked/>
    <w:rPr>
      <w:rFonts w:ascii="Arial" w:eastAsia="Malgun Gothic" w:hAnsi="Arial"/>
      <w:color w:val="19488C"/>
      <w:spacing w:val="15"/>
      <w:sz w:val="24"/>
    </w:rPr>
  </w:style>
  <w:style w:type="paragraph" w:styleId="NoSpacing">
    <w:name w:val="No Spacing"/>
    <w:uiPriority w:val="1"/>
    <w:qFormat/>
    <w:rPr>
      <w:snapToGrid w:val="0"/>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sz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sz w:val="24"/>
    </w:rPr>
  </w:style>
  <w:style w:type="character" w:styleId="SubtleEmphasis">
    <w:name w:val="Subtle Emphasis"/>
    <w:aliases w:val="Eyðublöð"/>
    <w:uiPriority w:val="19"/>
    <w:qFormat/>
    <w:rPr>
      <w:rFonts w:ascii="Calibri" w:hAnsi="Calibri"/>
      <w:color w:val="auto"/>
      <w:sz w:val="18"/>
    </w:rPr>
  </w:style>
  <w:style w:type="character" w:styleId="Emphasis">
    <w:name w:val="Emphasis"/>
    <w:aliases w:val="Footer númer"/>
    <w:uiPriority w:val="20"/>
    <w:qFormat/>
    <w:rPr>
      <w:rFonts w:ascii="Calibri" w:hAnsi="Calibri"/>
      <w:sz w:val="16"/>
    </w:rPr>
  </w:style>
  <w:style w:type="character" w:styleId="Strong">
    <w:name w:val="Strong"/>
    <w:aliases w:val="Undirletur í töflu"/>
    <w:uiPriority w:val="22"/>
    <w:qFormat/>
    <w:rPr>
      <w:rFonts w:ascii="Calibri" w:hAnsi="Calibri"/>
      <w:sz w:val="14"/>
    </w:rPr>
  </w:style>
  <w:style w:type="character" w:styleId="Hyperlink">
    <w:name w:val="Hyperlink"/>
    <w:rPr>
      <w:color w:val="0000FF"/>
      <w:u w:val="single"/>
    </w:rPr>
  </w:style>
  <w:style w:type="table" w:customStyle="1" w:styleId="TableGrid0">
    <w:name w:val="TableGrid"/>
    <w:rPr>
      <w:rFonts w:eastAsia="Malgun Gothic"/>
      <w:snapToGrid w:val="0"/>
      <w:sz w:val="22"/>
      <w:szCs w:val="22"/>
    </w:rPr>
    <w:tblPr>
      <w:tblCellMar>
        <w:top w:w="0" w:type="dxa"/>
        <w:left w:w="0" w:type="dxa"/>
        <w:bottom w:w="0" w:type="dxa"/>
        <w:right w:w="0" w:type="dxa"/>
      </w:tblCellMar>
    </w:tblPr>
  </w:style>
  <w:style w:type="paragraph" w:styleId="ListParagraph">
    <w:name w:val="List Paragraph"/>
    <w:basedOn w:val="Normal"/>
    <w:uiPriority w:val="34"/>
    <w:qFormat/>
    <w:pPr>
      <w:spacing w:line="276" w:lineRule="auto"/>
      <w:ind w:left="720"/>
      <w:contextualSpacing/>
    </w:pPr>
    <w:rPr>
      <w:rFonts w:cs="Calibri"/>
      <w:color w:val="000000"/>
      <w:sz w:val="22"/>
      <w:szCs w:val="22"/>
    </w:rPr>
  </w:style>
  <w:style w:type="paragraph" w:styleId="NormalWeb">
    <w:name w:val="Normal (Web)"/>
    <w:basedOn w:val="Normal"/>
    <w:uiPriority w:val="99"/>
    <w:pPr>
      <w:spacing w:before="100" w:beforeAutospacing="1" w:after="100" w:afterAutospacing="1"/>
    </w:pPr>
    <w:rPr>
      <w:rFonts w:ascii="Times New Roman" w:hAnsi="Times New Roman"/>
    </w:rPr>
  </w:style>
  <w:style w:type="paragraph" w:customStyle="1" w:styleId="Style10ptCentered">
    <w:name w:val="Style 10 pt Centered"/>
    <w:basedOn w:val="Normal"/>
    <w:pPr>
      <w:jc w:val="center"/>
    </w:pPr>
    <w:rPr>
      <w:sz w:val="18"/>
      <w:szCs w:val="20"/>
    </w:rPr>
  </w:style>
  <w:style w:type="table" w:customStyle="1" w:styleId="TableGrid1">
    <w:name w:val="Table Grid1"/>
    <w:basedOn w:val="TableNormal"/>
    <w:next w:val="TableGrid"/>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styleId="UnresolvedMention">
    <w:name w:val="Unresolved Mention"/>
    <w:basedOn w:val="DefaultParagraphFont"/>
    <w:uiPriority w:val="99"/>
    <w:semiHidden/>
    <w:unhideWhenUsed/>
    <w:rsid w:val="009A4A62"/>
    <w:rPr>
      <w:color w:val="605E5C"/>
      <w:shd w:val="clear" w:color="auto" w:fill="E1DFDD"/>
    </w:rPr>
  </w:style>
  <w:style w:type="character" w:styleId="FollowedHyperlink">
    <w:name w:val="FollowedHyperlink"/>
    <w:basedOn w:val="DefaultParagraphFont"/>
    <w:semiHidden/>
    <w:unhideWhenUsed/>
    <w:rsid w:val="009A4A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16693">
      <w:marLeft w:val="0"/>
      <w:marRight w:val="0"/>
      <w:marTop w:val="0"/>
      <w:marBottom w:val="0"/>
      <w:divBdr>
        <w:top w:val="none" w:sz="0" w:space="0" w:color="auto"/>
        <w:left w:val="none" w:sz="0" w:space="0" w:color="auto"/>
        <w:bottom w:val="none" w:sz="0" w:space="0" w:color="auto"/>
        <w:right w:val="none" w:sz="0" w:space="0" w:color="auto"/>
      </w:divBdr>
    </w:div>
    <w:div w:id="10858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rionbanki.is/bankinn/starfsemi/personuvern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ionbanki.is/einstaklingar/sparnadur/vidbotarlifeyrissparnadur/fjarfestingarleidir/#lykilupplysinga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1ff3a8-7f2c-4c86-877d-17e7ddd4cf3f">
      <Value>5</Value>
      <Value>11</Value>
      <Value>983</Value>
      <Value>163</Value>
    </TaxCatchAll>
    <lcf76f155ced4ddcb4097134ff3c332f xmlns="cd65d0aa-4042-4c25-a38c-457a1a446f4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9F716C145694D92C2B80FEBA452BF" ma:contentTypeVersion="19" ma:contentTypeDescription="Create a new document." ma:contentTypeScope="" ma:versionID="9c5aae8737046e4336a1bf8853bd6cf2">
  <xsd:schema xmlns:xsd="http://www.w3.org/2001/XMLSchema" xmlns:xs="http://www.w3.org/2001/XMLSchema" xmlns:p="http://schemas.microsoft.com/office/2006/metadata/properties" xmlns:ns1="http://schemas.microsoft.com/sharepoint/v3" xmlns:ns2="cd65d0aa-4042-4c25-a38c-457a1a446f4c" xmlns:ns3="031ff3a8-7f2c-4c86-877d-17e7ddd4cf3f" targetNamespace="http://schemas.microsoft.com/office/2006/metadata/properties" ma:root="true" ma:fieldsID="d4e631a932b23bda8f8cd8a12a17c2db" ns1:_="" ns2:_="" ns3:_="">
    <xsd:import namespace="http://schemas.microsoft.com/sharepoint/v3"/>
    <xsd:import namespace="cd65d0aa-4042-4c25-a38c-457a1a446f4c"/>
    <xsd:import namespace="031ff3a8-7f2c-4c86-877d-17e7ddd4cf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5d0aa-4042-4c25-a38c-457a1a44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fa8bba-e4ff-442e-bc8e-39d6e28e6f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1ff3a8-7f2c-4c86-877d-17e7ddd4cf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5ce9b4b-b531-471a-9fab-0c7e41d534b7}" ma:internalName="TaxCatchAll" ma:showField="CatchAllData" ma:web="031ff3a8-7f2c-4c86-877d-17e7ddd4c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D8EAAC-B947-47DE-BFBF-3A0972A2B67C}">
  <ds:schemaRefs>
    <ds:schemaRef ds:uri="http://schemas.microsoft.com/office/2006/metadata/properties"/>
    <ds:schemaRef ds:uri="http://schemas.microsoft.com/office/infopath/2007/PartnerControls"/>
    <ds:schemaRef ds:uri="3a80df53-966d-4465-b537-67eff46a37b0"/>
  </ds:schemaRefs>
</ds:datastoreItem>
</file>

<file path=customXml/itemProps2.xml><?xml version="1.0" encoding="utf-8"?>
<ds:datastoreItem xmlns:ds="http://schemas.openxmlformats.org/officeDocument/2006/customXml" ds:itemID="{AA4DC6AE-F5E0-4D2F-9701-9CE3BD195A9C}">
  <ds:schemaRefs>
    <ds:schemaRef ds:uri="http://schemas.microsoft.com/sharepoint/v3/contenttype/forms"/>
  </ds:schemaRefs>
</ds:datastoreItem>
</file>

<file path=customXml/itemProps3.xml><?xml version="1.0" encoding="utf-8"?>
<ds:datastoreItem xmlns:ds="http://schemas.openxmlformats.org/officeDocument/2006/customXml" ds:itemID="{4FB32424-F8A9-4702-B781-09765EE5E23E}"/>
</file>

<file path=docMetadata/LabelInfo.xml><?xml version="1.0" encoding="utf-8"?>
<clbl:labelList xmlns:clbl="http://schemas.microsoft.com/office/2020/mipLabelMetadata">
  <clbl:label id="{a355b245-b050-4acd-9089-aafe22475fc8}" enabled="1" method="Standard" siteId="{8a1f1d0a-876f-4ed5-8a0c-89d517bd788a}"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Ásgerður Káradóttir</dc:creator>
  <cp:keywords/>
  <dc:description/>
  <cp:lastModifiedBy>Ásgerður Káradóttir</cp:lastModifiedBy>
  <cp:revision>4</cp:revision>
  <cp:lastPrinted>2019-10-09T11:32:00Z</cp:lastPrinted>
  <dcterms:created xsi:type="dcterms:W3CDTF">2025-12-15T14:31:00Z</dcterms:created>
  <dcterms:modified xsi:type="dcterms:W3CDTF">2025-12-15T14:37:00Z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TaxKeyword">
    <vt:lpwstr/>
  </property>
  <property fmtid="{D5CDD505-2E9C-101B-9397-08002B2CF9AE}" pid="9" name="glbTegundVVSkjals">
    <vt:lpwstr>983;#Lífeyrisauki-Samningur um viðbótarlífeyrissparnað|0dbeefc5-063b-4a51-9b02-ee79ee82df51</vt:lpwstr>
  </property>
  <property fmtid="{D5CDD505-2E9C-101B-9397-08002B2CF9AE}" pid="10" name="ContentTypeId">
    <vt:lpwstr>0x010100D599F716C145694D92C2B80FEBA452BF</vt:lpwstr>
  </property>
  <property fmtid="{D5CDD505-2E9C-101B-9397-08002B2CF9AE}" pid="11" name="glbStadaVV">
    <vt:lpwstr>5;#Skjal/umsókn í vinnslu|f0160a8e-60d0-41ad-995a-b5aa424730e4</vt:lpwstr>
  </property>
  <property fmtid="{D5CDD505-2E9C-101B-9397-08002B2CF9AE}" pid="12" name="glbEining">
    <vt:lpwstr/>
  </property>
  <property fmtid="{D5CDD505-2E9C-101B-9397-08002B2CF9AE}" pid="13" name="_dlc_DocIdItemGuid">
    <vt:lpwstr>c55aa7a5-9d73-448f-9cc5-16836554c0fc</vt:lpwstr>
  </property>
  <property fmtid="{D5CDD505-2E9C-101B-9397-08002B2CF9AE}" pid="14" name="glbSkjalalykill">
    <vt:lpwstr>163;#Ávöxtun (23.2.2)|b16c28c1-457d-415b-88f8-13ca2c7d1623</vt:lpwstr>
  </property>
  <property fmtid="{D5CDD505-2E9C-101B-9397-08002B2CF9AE}" pid="15" name="WorkflowChangePath">
    <vt:lpwstr>fe129b94-708f-41ce-9e11-080c4ab001b1,17;fe129b94-708f-41ce-9e11-080c4ab001b1,22;fe129b94-708f-41ce-9e11-080c4ab001b1,27;fe129b94-708f-41ce-9e11-080c4ab001b1,32;fe129b94-708f-41ce-9e11-080c4ab001b1,37;fe129b94-708f-41ce-9e11-080c4ab001b1,45;fe129b94-708f-4fe129b94-708f-41ce-9e11-080c4ab001b1,5;fe129b94-708f-41ce-9e11-080c4ab001b1,10;fe129b94-708f-41ce-9e11-080c4ab001b1,16;fe129b94-708f-41ce-9e11-080c4ab001b1,22;</vt:lpwstr>
  </property>
  <property fmtid="{D5CDD505-2E9C-101B-9397-08002B2CF9AE}" pid="16" name="glbGeymsluaaetlun">
    <vt:lpwstr>11;#Lokadags +7 ár|6780ba3d-ef1f-4052-94ba-8da1c46d2c94</vt:lpwstr>
  </property>
  <property fmtid="{D5CDD505-2E9C-101B-9397-08002B2CF9AE}" pid="17" name="Tengist Kerfi">
    <vt:lpwstr>Ytrivefur</vt:lpwstr>
  </property>
  <property fmtid="{D5CDD505-2E9C-101B-9397-08002B2CF9AE}" pid="19" name="glbLand">
    <vt:lpwstr/>
  </property>
  <property fmtid="{D5CDD505-2E9C-101B-9397-08002B2CF9AE}" pid="20" name="ValdaVistun">
    <vt:lpwstr/>
  </property>
  <property fmtid="{D5CDD505-2E9C-101B-9397-08002B2CF9AE}" pid="21" name="glbLananumer">
    <vt:lpwstr/>
  </property>
  <property fmtid="{D5CDD505-2E9C-101B-9397-08002B2CF9AE}" pid="22" name="glbTilvisun">
    <vt:lpwstr/>
  </property>
  <property fmtid="{D5CDD505-2E9C-101B-9397-08002B2CF9AE}" pid="23" name="glbLanveitandi">
    <vt:lpwstr/>
  </property>
</Properties>
</file>